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31.2000.13 vom 2. Juli 2001</w:t>
      </w:r>
    </w:p>
    <w:p>
      <w:r>
        <w:t>TI Tribunale d'appello, 2001-07-02, IT</w:t>
      </w:r>
    </w:p>
    <w:p>
      <w:r>
        <w:rPr>
          <w:b/>
        </w:rPr>
        <w:t xml:space="preserve">Quelle: </w:t>
      </w:r>
      <w:r>
        <w:t>https://mcp.opencaselaw.ch/entscheid/ti_gerichte_31.2000.13</w:t>
      </w:r>
    </w:p>
    <w:p>
      <w:r>
        <w:t>FR: TI_GERICHTE 31.2000.13 du 2 juillet 2001</w:t>
      </w:r>
    </w:p>
    <w:p>
      <w:r>
        <w:t>IT: TI_GERICHTE 31.2000.13 del 2 luglio 2001</w:t>
      </w:r>
    </w:p>
    <w:p>
      <w:pPr>
        <w:pStyle w:val="Heading2"/>
      </w:pPr>
      <w:r>
        <w:t>Regeste</w:t>
      </w:r>
    </w:p>
    <w:p>
      <w:r>
        <w:t>Sentenza o decisione senza scheda</w:t>
      </w:r>
    </w:p>
    <w:p>
      <w:pPr>
        <w:pStyle w:val="Heading2"/>
      </w:pPr>
      <w:r>
        <w:t>Erwägungen</w:t>
      </w:r>
    </w:p>
    <w:p>
      <w:r>
        <w:rPr>
          <w:b/>
        </w:rPr>
        <w:t>E. 45</w:t>
      </w:r>
    </w:p>
    <w:p>
      <w:r>
        <w:t>consid. 6 pag. 127, confermato in SVR 1997 AHV Nr. 128 consid. 5a pag. 389; UFAS, "Leggi cantonali sugli assegni famigliari". La giurisprudenza delle autorità cantonali di ricorso dal 1995 al 1997, Berna 1999, pag. 99-104). In conclusione , dopo attento esame dell'incarto e dopo la produzione del nuovo conteggio di cui al doc. _, questo TCA ritiene che il calcolo eseguito dalla Cassa è corretto. L a Cassa è quindi legittimata a far valere fr. 54'332.15 ai sensi dell'art. 52 LAVS. 2.8. Secondo la giurisprudenza del TFA, un amministratore è da ritenersi liberato dalla responsabilità ex art. 52 LAVS dalla data in cui egli ha dimissionato quale organo della società: a partire da questa data (e non radiazione del Registro di Commercio) egli non ha infatti più alcuna facoltà di controllo sull’attività della medesimo (SVR 2000 AHV Nr. 24; DTF 112 V 6).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Anche se di principio le dimissioni vanno indirizzate all'assemblea generale, la giurisprudenza e la dottrina dominante ne consentono l'invio al presidente del consiglio di amministrazione o all'amministratore unico, ritenuto che le stesse non sono legate a prescrizioni di forma e non necessitano di accettazione (cfr. STFA del 25 novembre 1999 non pubblicata nella causa S. C. e E. G. consid. 4 d con le relative citazioni dottrinali e giurisprudenziali; STCA non pubblicata del 7 agosto 2000 nella causa M.P). Il convenuto ha affermato di aver dimissionato in data 28 febbraio 1998. A comprova di tale fatto egli ha allegato una lettera di dimissioni datata 28 febbraio 1998, senza produrre la ricevuta che ne attestasse l'invio raccomandato. Di fatto le dimissioni non sono comunque mai state notificate a RC (cfr. doc. _). La Cassa ritiene in ogni caso __________ amministratore di fatto della __________ anche per il periodo susseguente alle sue presunte dimissioni. Questo TCA, per i motivi che seguono, condivide la tesi attorea. Dal verbale d'interrogatorio 8 marzo 1999 relativo al fallimento della __________ risulta che in quel momento il signor __________ era ancora "l'amministratore attuale della società" (cfr. doc. _, allegato _). Il verbale è stato sottoscritto da __________ il quale, sotto la voce "osservazioni", ha inoltre aggiunto: " Il sottoscritto amministratore unico ha inoltrato le sue dimissioni il 28.2.1998 sollecitando una risposta della società il 26.2.1999. Mentre l'Ufficio di revisione e cioè la Società __________ ha inoltrato le dimissioni, quale Ufficio di revisione il 26.2.1999…"(cfr. doc. _, allegato _). In merito all'asserzione del convenuto secondo cui egli aspettava un riscontro della società dopo la sua lettera di dimissioni, va precisato quanto segue. Innanzitutto, se è vero che egli era intenzionato a dimettersi, non si capisce come mai ha aspettato un anno per sollecitare la società in tale senso. Del resto, secondo l'art. 711 cpv. 1 CO la società notifica senza indugio al Registro di commercio, perché vi sia iscritta, l'uscita di un amministratore. Ove tale notificazione non sia fatta entro 30 giorni, l'amministratore uscente può chiedere direttamente la cancellazione (cfr. art. 711 cpv. 2 CO). Nel caso di specie __________ ha comunque di fatto continuato ad amministrare la società come si evince dall'incarto prodotto dall'UEF di __________ pendente lite (in particolare dal doc. _ allegato _). Come precisato al consid. 2.1, la nozione di organo non comprende solo gli organi formali, ma si estende anche ai cosiddetti organi di fatto. Ciò che è determinante, per qualificare come organi della società persone che non fanno parte del Consiglio di amministrazione, è la circostanza che esse esercitano effettivamente la funzione di organi prendendo delle decisioni di competenza di quest'ultimi o assumendo la gestione effettiva e influendo così in modo determinante sulla formazione della volontà della società (cfr. STFA non pubblicata del 27 marzo 2000 nella causa V.G. e R.N, pag 12, H 279/99 Ws; DTF 114 V pag. 218; 111 V pag. 178). Tuttavia, nell’ambito della responsabilità del datore di lavoro, la posizione di organo di fatto deve essere esaminata nel contesto dell’obbligo del versamento dei contributi. Come si è visto, __________ ha continuato, per sua stessa ammissione e come risulta dai documenti _ allegati _, a svolgere i compiti che gli competono quale amministratore unico. Egli è pertanto responsabile anche per il 1998. 2.9.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2.10.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2.11.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2.12. Il convenuto respinge l'addebito di intenzionalità e negligenza grave, asserendo che la società avrebbe delegato alla Fiduciaria __________ l'amministrazione e i pagamenti della __________. __________ ha pure affermato di aver destinato il denaro dei contributi per altro scopo, ma che sarebbe stata comunque sua intenzione saldare il debito contributivo al più presto. Innanzitutto va precisato che, secondo costante giurisprudenza (cfr. STCA 14 giugno 1995 in re G.C.; inc. __________) la responsabilità del datore di lavoro ai sensi dell'art. 52 LAVS non è in relazione alla gestione della società per se stessa, né a eventuali cause di un fallimento. Nell'evenienza concreta, dagli atti risulta che sin dal 1995 la società è stata in mora col pagamento dei contributi, ciò che ha costretto la Cassa a diffidarla e a precettarla (doc. _). La ditta però, a detta del convenuto, avrebbe fatto tutto il possibile per salvarsi. La sospensione dei lavori __________ a __________ avrebbe accentuato la situazione precaria in cui si trovava la ditta, in quanto privata di circa fr. 20'000.-- di introiti mensili. Uno studio del 1998 della società __________ avrebbe previsto una ripresa economica e quindi la ripresa dei lavori. Si tratta dunque di stabilire se quella della ditta __________ è stata una crisi passeggera di qualche mese oppure no, e se il convenuto aveva seri e oggettivi motivi per presumere che i contributi potessero essere versati entro un breve termine. Dagli atti risulta che l'eluso versamento non può dirsi dovuto a difficoltà momentanee. La Cassa ha infatti dovuto inviare diffide alla società e intraprendere procedure esecutive per l'incasso dei contributi sin dal 1995 (doc. _). Finché, alla fine, vi è stato lo scoperto sopra indicato, risultato irrecuperabile. I motivi addotti dal convenuto non sono tuttavia sufficienti per esonerarlo da una responsabilità ex art. 52 LAVS. Le difficoltà finanziarie della ditta erano infatti talmente gravi che le giustificazioni addotte dal convenuto non possono essere ritenute valide.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La ditta era in difficoltà da ormai troppo tempo per cui le aspettative indicate dal convenuto non permettono di ammettere i motivi di discolpa citati in precedenza (cfr. DTF 121 V 243, consid. 2.9.). Ora, l'avere procrastinato costantemente il pagamento dei contributi paritetici e averlo irrimediabilmente differito, è segno di una negligenza non indifferente del datore di lavoro e fa sorgere la responsabilità dell'amministratore unico,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Il fatto di aver delegato alla fiduciaria __________ l'amministrazione e i pagamenti della __________ non esime il convenuto da una sua responsabilità ex art. 52 LAVS. Accettando il mandato di amministratore unico della __________, __________ ha assunto tutti gli oneri che da tali funzioni derivano (cfr. STFA non pubblicata dell'8 marzo 2001 nella causa A. C., G. P. e F. F., H 115/00 e H 132/00, consid. 5b). Egli avrebbe dovuto effettuare con maggior rigore i controlli che ogni amministratore deve svolgere. Il convenuto avrebbe così potuto constatare la precaria situazione finanziaria della società (cfr. STFA non pubblicata dell'8 marzo 2001 nella causa A. C., G. P. e F. F., H 115/00 e H 132/00, consid. 8b). La responsabilità per il corretto adempimento degli oneri assicurativi nonché la diligenza necessaria alla corretta gestione degli affari sociali non incombevano solo alla __________, ma anche e soprattutto all'amministratore unico, trattandosi di attribuzioni inalienabili nel senso dell'art. 716a cpv. 1 cifra 5 CO (cfr. STFA del 13 novembre 2000 non pubblicata nella causa F.S., consid. 4b, H 238/98). Il convenuto ha omesso di compiere quanto doveva apparire importante a qualsiasi persona ragionevole nell'ambito delle incombenze riconducibili alla funzione di amministratore unico di una società anonima. Questa omissione costituisce una grave violazione del suo dovere di diligenza (cfr. RCC 1992, pag. 269), dovere che risulta accresciuto quando si tratti - come in concreto - di un presidente del consiglio di amministrazione (STFA non pubblicata dell'8 novembre 1999 nella causa G. H., H 74/99, consid 6b; DTF 122 III 198, consid. 3a) e, dal 4 marzo 1997, di un amministratore unico ( cfr. DTF 112 V 3 consid 2b; 122 III 198 consid 3a; STFA non pubblicata del 24 gennaio 2000 nella causa P-A. B., H180/99, consid. 4). La petizione deve dunque essere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