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30.2025.18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https://mcp.opencaselaw.ch/entscheid/ti_gerichte_30.2025.18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novembre 2017 consid. 7.2.; STF 9C_775/2016 del 2 giugno 2017 consid. 6.4.; STF 8C_794/2016 del 28 aprile 2017 consid. 4.2.; STF 9C_737/2012 del 19 marzo 2013; STF 8C_556/2010 del 24 gennaio 2011 consid. 9), senza che ciò costituisca una lesione del diritto di essere sentito sancito dall'art. 29 cpv. 2 Cost. (cfr. DTF 124 V 94 consid. 4b; 122 V 162 consid. 1d e sentenza ivi citata).</w:t>
      </w:r>
    </w:p>
    <w:p>
      <w:r>
        <w:t>2.15.Lart.61 lett.fbisLPGA prevede che per le controversie relative a prestazioni, la procedura è soggetta a spese se la singola legge interessata lo prevede; se la singola legge non lo prevede il tribunale può imporre spese processuali alla parte che ha un comportamento temerario o sconsiderato.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