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30.2025.11 vom 23. August 2024</w:t>
      </w:r>
    </w:p>
    <w:p>
      <w:r>
        <w:t>TI Tribunale d'appello, 2024-08-23, IT</w:t>
      </w:r>
    </w:p>
    <w:p>
      <w:r>
        <w:rPr>
          <w:b/>
        </w:rPr>
        <w:t xml:space="preserve">Quelle: </w:t>
      </w:r>
      <w:r>
        <w:t>https://mcp.opencaselaw.ch/entscheid/ti_gerichte_30.2025.11_d20240823</w:t>
      </w:r>
    </w:p>
    <w:p>
      <w:r>
        <w:t>FR: TI_GERICHTE 30.2025.11 du 23 août 2024</w:t>
      </w:r>
    </w:p>
    <w:p>
      <w:r>
        <w:t>IT: TI_GERICHTE 30.2025.11 del 23 agosto 2024</w:t>
      </w:r>
    </w:p>
    <w:p>
      <w:pPr>
        <w:pStyle w:val="Heading2"/>
      </w:pPr>
      <w:r>
        <w:t>Regeste</w:t>
      </w:r>
    </w:p>
    <w:p>
      <w:r>
        <w:t>Assicurata con rendita AVS, colpita da un ictus ischemico, degente presso casa anziani e posta al beneficio di assegno per grandi invalidi di grado medio, chiede grado elevato. Ricorso accolto. Necessità di aiuto diretto e indiretto per assunzione medicamenti</w:t>
      </w:r>
    </w:p>
    <w:p>
      <w:pPr>
        <w:pStyle w:val="Heading2"/>
      </w:pPr>
      <w:r>
        <w:t>Erwägungen</w:t>
      </w:r>
    </w:p>
    <w:p>
      <w:r>
        <w:rPr>
          <w:b/>
        </w:rPr>
        <w:t>E. 38</w:t>
      </w:r>
    </w:p>
    <w:p>
      <w:r>
        <w:t>al. 2 OLAA est à l'évidence remplie” ). Del resto, come visto, considerato che l’insorgente necessita dell’aiuto di terzi per tutti gli atti ordinari della vita, la condizione delle cure permanenti ha solo un carattere secondario e deve essere considerata come adempiuta a partire dal momento in cui vi sono cure permanenti, anche se poco importanti (STF 8C_314/2022 del 15 dicembre 2022, consid. 5.2 con rinvio alla DTF 106 V 153 consid. 2a; Ulrich Meyer, Marco Reichmuth, op. cit., n. 40 seguenti ad art. 42-42 ter ). Questo Tribunale non ignora che la ricorrente, il cui arto dominante è quello destro, assume il cibo con l’arto sinistro e che dunque ci si potrebbe chiedere se non può prendere i medicamenti con la stessa mano. Tuttavia, il 5 luglio 2024 il dr. med. __________, caporeparto presso il Centro abitativo e di cura __________ ha precisato che spesso, per mangiare, la ricorrente necessita dell’aiuto fisico di un curante, specialmente la sera o nel periodo in cui il tono dell’umore è fluttuante e di conseguenza non riesce a coordinarsi con la mano sinistra (cfr. pag. 61 incarto AI). Inoltre, come visto, ella è affetta da grave “ grave compromissione cognitiva ”, non è in grado di leggere un orologio o di distinguere i vari prodotti per l’igiene. L’aiuto di terzi è pertanto indispensabile anche per i medicamenti. Ciò vale da novembre 2023 (cfr. doc. 31, pag. 2-6; cfr. anche, per quanto concerne la mancanza di autonomia nella gestione della terapia farmacologica prescritta, il rapporto d’uscita della Clinica __________ [doc. A3], pag. 4 e pag. 7). D’altra parte nel citato caso di cui alla STF 8C_314/2022 del 15 dicembre 2022, l’assicurato poteva mangiare da solo (consid. 4.3.2 “ il pouvait certes manger seul mais ne pouvait rien couper lui-même ”) e poteva prendere in mano piccoli oggetti come i Lego (” le recourant a parfois besoin de ses deux mains pour saisir des objets et qu’il pouvait saisir d’une seule main de petits objets fins comme des Lego ”), pur avendo una limitazione della funzione prensile (“ la fonction de préhension est limitée, c’est pourquoi il n’est pas possible pour le recourant de tenir et de manipuler des objets […]  avec le doigts ”). Egli disponeva di accessori che gli permettevano di mangiare autonomamente (“ le recourant bénéficie ainsi d’un moyen auxiliaire consistant en une lanière en cuir qui s’attache autour de la main et à la quelle on peut fixer, entre autres objets, des couverts. L’accessoire permet de manger de manière autonome ”). Ciò non ha tuttavia ostato al riconoscimento del requisito della cura permanente in ragione della somministrazione dei medicamenti da parte di un’organizzazione d’aiuto e di cure a domicilio. Nel caso di specie, infine, oltre alla somministrazione dei medicamenti, la ricorrente, necessita anche, per la cura della pelle, di una crema idratante, che viene spalmata alla mattina dopo le cure igieniche o alla sera, o all’occasione, su tutto il corpo. Anche questa cura necessita dell’aiuto del personale curante e, a causa del suo stato di salute, non può essere eseguito dalla ricorrente da sola. Alla luce di quanto sopra esposto questo Tribunale ritiene di conseguenza adempiuto il presupposto delle cure permanenti di cui all’art. 37 cpv. 1 OAI che dà diritto, in virtù della necessità dell’aiuto regolare e notevole di terzi per compiere gli atti ordinari della vita, all’assegno per grandi invalidi di grado elevato, senza che sia necessario esaminare se anche la condizione della sorveglianza personale è adempiuta. 2.9.  In queste condizioni il ricorso va accolto, la decisione su opposizione impugnata va annullata e l’incarto rinviato all’amministrazione per il calcolo dell’assegno per grandi invalidi di grado elevato dal 1° maggio 2024. Alla ricorrente, rappresentata da una persona cognita in materia, vanno assegnate le ripetibili. 2.10.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AVS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