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30.2025.1 vom 28. April 2025</w:t>
      </w:r>
    </w:p>
    <w:p>
      <w:r>
        <w:t>TI Tribunale d'appello, 2025-04-28, IT</w:t>
      </w:r>
    </w:p>
    <w:p>
      <w:r>
        <w:rPr>
          <w:b/>
        </w:rPr>
        <w:t xml:space="preserve">Quelle: </w:t>
      </w:r>
      <w:r>
        <w:t>https://mcp.opencaselaw.ch/entscheid/ti_gerichte_30.2025.1</w:t>
      </w:r>
    </w:p>
    <w:p>
      <w:r>
        <w:t>FR: TI_GERICHTE 30.2025.1 du 28 avril 2025</w:t>
      </w:r>
    </w:p>
    <w:p>
      <w:r>
        <w:t>IT: TI_GERICHTE 30.2025.1 del 28 aprile 2025</w:t>
      </w:r>
    </w:p>
    <w:p>
      <w:pPr>
        <w:pStyle w:val="Heading2"/>
      </w:pPr>
      <w:r>
        <w:t>Erwägungen</w:t>
      </w:r>
    </w:p>
    <w:p>
      <w:r>
        <w:rPr>
          <w:b/>
        </w:rPr>
        <w:t>E. 20</w:t>
      </w:r>
    </w:p>
    <w:p>
      <w:r>
        <w:t>gennaio 2020 consid. 3.2.2 con riferimenti;sentenza 9C_681/2019 del 19 ottobre 2020, consid. 3.1; sentenza 9C_441/2015 del 19 febbraio 2016 parzialmente pubblicata in SVR 2016, AVS Nr. 4 pag. 11; DTF 134 V 250, consid. 3;DTF 110 V 83 consid. 4 pag. 86 e 369 consid. 2a pag. 370). Ne discende che una persona deve innanzitutto difendere i propri diritti nel procedimento fiscale, anche con riferimento agli effetti sul calcolo dei contributi sociali (cfr. sentenza9C_710/2019 del 13 ottobre 2020, consid. 4.4.2;sentenza 2C_392/2020 del 1° luglio 2020 consid. 2.5.1; DTF 134 V 250 consid. 3.3 pag. 253 con riferimenti;sentenza 9C_441/2015 del 19 febbraio 2016 parzialmente pubblicata in SVR 2016, AVS Nr. 4 pag. 11).</w:t>
      </w:r>
    </w:p>
    <w:p>
      <w:r>
        <w:t>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(sentenza 9C_710/2019 del 13 ottobre 2020, consid. 4.4.1;sentenza 9C_256/2018 del 19 luglio 2018 consid. 4.2).</w:t>
      </w:r>
    </w:p>
    <w:p>
      <w:r>
        <w:t>Di principio le casse di compensazione devono fidarsi delle comunicazioni delle autorità fiscali per la qualifica del reddito e devono effettuare accertamenti laddove esistono seri dubbi quanto alla loro esattezza (DTF 147 V 114, consid. 3.4.2; DTF 134 V 250 consid. 3.3 e riferimenti).</w:t>
      </w:r>
    </w:p>
    <w:p>
      <w:r>
        <w:t>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w:t>
      </w:r>
    </w:p>
    <w:p>
      <w:r>
        <w:t>Questi principi sono stati confermati nella citata sentenza 9C_710/2019 del 13 ottobre 2020 dove il Tribunale federale al consid. 4.5 ha affermato:</w:t>
      </w:r>
    </w:p>
    <w:p>
      <w:r>
        <w:t>Cfr. anche la DTF 147 V 114, consid. 3.4.2.</w:t>
      </w:r>
    </w:p>
    <w:p>
      <w:r>
        <w:t>Va ancora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(sentenza 9C_514/2008 del 19 maggio 2009 consid. 4.2). Al parallelismo tra qualifica fiscale e assicurativa sociale non va possibilmente rinunciato (sentenza 9C_514/2008 del 19 maggio 2009 consid. 4.2).</w:t>
      </w:r>
    </w:p>
    <w:p>
      <w:r>
        <w:t>Il mancato rispetto del principio unitario dell'ordinamento giuridico rischia altrimenti di mettere a repentaglio l'accettazione dello stesso ordinamento da parte dei contribuenti (sentenza 9C_514/2008 del 19 maggio 2009 consid. 4.2).</w:t>
      </w:r>
    </w:p>
    <w:p>
      <w:r>
        <w:t>2.6.Con sentenza pubblicata in DTF134 V 250 lAlta Corte ha affermatoche iredditi locativi provenienti da immobili che fanno parte della sostanza commerciale soggiacciono in virtù di questo fatto all'obbligo contributivo AVS in qualità di reddito da attività indipendente (consid. 4.3). Anche se non continuano l'attività commerciale del de cuius, gli eredi sono comunque presunti esercitare dal profilo dell'AVS, come del resto anche da quello fiscale, un'attività indipendente se mantengono nella sostanza commerciale gli immobili devoluti (consid. 5.2).</w:t>
      </w:r>
    </w:p>
    <w:p>
      <w:r>
        <w:t>2.12.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