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30.2024.6 vom 30. September 2024</w:t>
      </w:r>
    </w:p>
    <w:p>
      <w:r>
        <w:t>TI Tribunale d'appello, 2024-09-30, IT</w:t>
      </w:r>
    </w:p>
    <w:p>
      <w:r>
        <w:rPr>
          <w:b/>
        </w:rPr>
        <w:t xml:space="preserve">Quelle: </w:t>
      </w:r>
      <w:r>
        <w:t>https://mcp.opencaselaw.ch/entscheid/ti_gerichte_30.2024.6</w:t>
      </w:r>
    </w:p>
    <w:p>
      <w:r>
        <w:t>FR: TI_GERICHTE 30.2024.6 du 30 septembre 2024</w:t>
      </w:r>
    </w:p>
    <w:p>
      <w:r>
        <w:t>IT: TI_GERICHTE 30.2024.6 del 30 settembre 2024</w:t>
      </w:r>
    </w:p>
    <w:p>
      <w:pPr>
        <w:pStyle w:val="Heading2"/>
      </w:pPr>
      <w:r>
        <w:t>Erwägungen</w:t>
      </w:r>
    </w:p>
    <w:p>
      <w:r>
        <w:rPr>
          <w:b/>
        </w:rPr>
        <w:t>E. 6</w:t>
      </w:r>
    </w:p>
    <w:p>
      <w:r>
        <w:t>pag. 374). L'audizione delle parti, che costituisce un aspetto del diritto di essere sentito, non è necessaria nella procedura d'istruzione che precede l'emanazione di decisioni impugnabili mediante opposizione. La LPGA contiene a questo proposito una regolamentazione esaustiva ( DTF 132 V 368 consid. 6). Con sentenza 9C_694/2008 del 7 ottobre 2009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Va rammentato che una violazione del diritto di essere sentito è sanabile se l'interessato ha la possibilità di esprimersi dinanzi a un'autorità di ricorso che gode del pieno potere di esame sui fatti e sul diritto ( STF 8C_482/2018 del 26 novembre 2018 consid. 4.4.2; DTF 135 I 279 consid. 2.6.1; DTF 124 V 180 consid. 4a). Ciò è il caso laddove l'assicurato h a potuto comprendere la portata della decisione formale e impugnare la successiva decisione su opposizione, confrontarsi con il suo contenuto e proporre le sue censure, facendo valere le sue ragioni innanzi ad un'autorità giudiziaria che gode del pieno potere cognitivo ( DTF 133 I 201 consid. 2.2) . Il TCA dispone in effetti di un pieno potere di esame in tal senso (STF 8C_923/2011 del 28 giugno 2012, consid. 2.3) e, in applicazione del principio inquisitorio, può assumere le prove che ritiene necessarie per il chiarimento della fattispecie (art. 61 lett. c LPGA). Come ricordato dalla STF 8C_482/2018 del 26 novembre 2018 consid. 4.4.2,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(DTF 142 II 218 consid. 2.8.1; DTF 133 I 201 consid. 2.2; sentenza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 2013 del 10 luglio 2013 consid. 3.2.1 con riferimenti). 2.2.  Nell'evenienza concreta, con l'opposizione l'assicurato ha chiesto alla Cassa di compensazione un incontro per potere "completare le … argomentazioni e per rispondere ad eventuali richieste da parte vostra" (doc. A9 punto 10). Con la decisione su opposizione l'amministrazione ha ricordato che qualora l'istruttoria conduca alla convinzione che altri provvedimenti probatori non potrebbero modificare il risultato, può rinunciare ad assumere altre prove, perciò tale modo di procedere, visto che è in possesso della documentazione necessaria, non costituisce una violazione del diritto di essere sentito. Si rileva qui come la legge e la giurisprudenza hanno stabilito che non v'è alcun diritto ad essere sentiti oralmente in sede amministrativa e quindi nulla si può rimproverare alla Cassa. D'altra parte l'assicurato ha avuto modo di esprimersi sufficientemente sulla vertenza sia con l'opposizione stessa, sia poi inoltrando il ricorso in esame e formulando ulteriori osservazioni in corso di causa. Egli ha quindi potuto esporre le sue motivazioni riguardo al computo di interessi di mora sui contributi dovuti per gli anni 2012, 2013 e 2014. In concreto non sussiste dunque alcuna violazione del diritto di essere sentito del ricorrente e questa Corte può esaminare il merito della causa. nel merito 2.3. Sono assicurate obbligatoriamente in conformità della legge federale sull'assicurazione per la vecchiaia e per i superstiti le persone fisiche che sono domiciliate in Svizzera (art. 1a cpv. 1 lett. a LAVS). In base all’art. 3 cpv. 1 LAVS, gli assicurati sono tenuti al pagamento dei contributi fintanto che esercitano un'attività lucrativa. Per 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da un ' attività lucrativa indipendente è stabilito deducendo dal lordo una serie di spese indicate all'art.</w:t>
      </w:r>
    </w:p>
    <w:p>
      <w:r>
        <w:rPr>
          <w:b/>
        </w:rPr>
        <w:t>E. 9</w:t>
      </w:r>
    </w:p>
    <w:p>
      <w:r>
        <w:t>cpv. 2 LAVS. In base all’art. 14 cpv. 2 LAVS i contributi da prelevarsi sul reddito proveniente da un'attività lucrativa indipendente, quelli degli assicurati che non esercitano un'attività lucrativa e degli assicurati i cui datori di lavoro non sono soggetti all'obbligo di pagare i contributi, devono essere stabiliti e versati periodicamente. Il Consiglio federale fissa i periodi di calcolo e di contribuzione. 2.4.  I contributi sono fissati per ciascun anno di contribuzione, con cui si intende l'anno civile (art. 22 cpv. 1 OAVS), e per la loro fissazione sono determinanti il reddito conseguito secondo il risultato dell'esercizio commerciale chiuso nell'anno di contribuzione e il capitale proprio investito nell'azienda alla fine dell'esercizio commerciale (art. 22 cpv. 2 OAVS).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Per le persone esercitanti un'attività lucrativa indipendente a esse affiliate, le casse di compensazione richiedono alle competenti autorità fiscali cantonali le indicazioni necessarie alla determinazione dei contributi. L'Ufficio federale emana direttive in merito alle indicazioni necessarie e alla procedura di notifica (art. 27 cpv. 1 OAVS). Giusta 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all'articolo 23 trasmette spontaneamente gli elementi di calcolo alla cassa cantonale di compensazione. Questa li inoltra, ove occorra, alla cassa di compensazione competente (art. 27 cpv. 3 OAVS). L'art. 39 OAVS tratta del pagamento dei contributi arretrati e al capoverso 1 dispone che se ha conoscenza che una persona non ha pagato i contributi dovuti o ha pagato contributi inferiori a quelli dovuti, la cassa di compensazione deve esigere il pagamento dei contributi arretrati e, ove occorra, stabilirlo mediante decisione. È fatta salva la prescrizione prevista dall'articolo 16 cpv. 1 LAVS. I contributi reclamati vanno pagati entro 30 giorni a contare dalla fatturazione (art. 39 cpv. 2 OAVS). Per quanto attiene gli interessi, l'art. 26 cpv. 1 LPGA prevede che i crediti di contributi dovuti o di contributi indebitamente riscossi sottostanno rispettivamente a interessi di mora o rimunerativi. In base all’art. 41 bis cpv. 1 OAVS devono in particolare versare interessi di mora: b. le persone tenute a pagare i contributi, sui contributi reclamati per gli anni civili passati, a partire dal 1° gennaio dopo il termine dell'anno civile per il quale i contributi sono dovuti.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 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Infine l'art. 64 LAVS, citato dall'amministrazione a motivazione dell'obbligo dell'assicurato di versare i contributi personali come indipendente, concerne l'affiliazione alle casse e l'obbligo di informare e dispone, per ciò che qui interessa, quanto segue: " 1 Sono affiliati alle casse di compensazione professionali tutti i datori di lavoro e le persone esercitanti un'attività lucrativa indipendente, che fanno parte di una delle associazioni fondatrici. I datori di lavoro e le persone esercitanti un'attività lucrativa indipendente, che sono membri nel contempo di un'associazione professionale e di un'associazione interprofessionale saranno, a loro libera scelta, affiliati alla cassa di compensazione dell'associazione professionale o a quella dell'associazione interprofessionale. 2 Sono affiliati alle casse di compensazione cantonali tutti i datori di lavoro e le persone esercitanti un'attività lucrativa indipendente che non fanno parte di un'associazione fondatrice di una cassa di compensazione professionale, nonché le persone che non hanno un’occupazione lucrativa e gli assicurati a dipendenza di datori di lavoro non tenuti al pagamento dei contributi. 5 I datori di lavoro, le persone esercitanti un'attività lucrativa indipendente, le persone che non hanno un'occupazione lucrativa e gli assicurati dipendenti da datori di lavoro non tenuti al pagamento dei contributi, devono, se non sono già affiliati, annunciarsi alla cassa cantonale di compensazione.”. 2.5.  Occorre ancora osservare che a norma dell'art. 17 OAVS, emesso dal Consiglio federale in base all’art. 9 LAVS, sono considerati quale reddito proveniente da un'attività lucrativa indipendente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eccetto i redditi da partecipazioni dichiarati quali sostanza commerciale giusta l'art. 18 cpv. 2 LIFD. Per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del 1999, l'imponibilità degli utili provenienti da commercio professionale di beni, in particolare immobili e titoli (DTF 125 II 113). Da quanto precede discende che il commercio professionale di immobili, considerato attività lucrativa di tipo indipendente, è imposto fiscalmente a livello federale (art. 18 LIFD). 2.6.  In concreto l'amministrazione, giusta l'art. 23 cpv. 1 OAVS, ha determinato i contributi dovuti dall'assicurato come indipendente per gli anni 2012, 2013 e 2014 basandosi sul reddito aziendale stabilito dall'autorità fiscale con le relative notifiche di tassazione i cui importi, a seguito dei reclami, sono stati fissati in via definitiva il 3 maggio 2023 in CHF 500'000, in CHF 600'000 e in CHF 180'000, dopo che ha avuto luogo un incontro fra l'Ufficio di tassazione e l'interessato. L'assicurato, in sede fiscale, ha riconosciuto non solo la qualifica di reddito da attività indipendente quale commercio professionale di immobili, ma pure gli importi di questi redditi. La qualifica dell'attività che l'assicurato ha avviato nel 2012 edificando un immobile su un fondo di proprietà della moglie e ha terminato nel 2014, è avvenuta da parte dell'autorità fiscale il 14 marzo 2018 ed è diventata definitiva il 3 maggio 2023, con l'emanazione delle decisioni su reclamo, in cui le parti hanno rettificato, in via transattiva, gli importi ascrivibili all'assicurato come redditi da attività indipendente del contribuente, riducendoli del 70% rispetto a quanto inizialmente previsto con le prime notifiche di tassazione (doc. I pag. 1). L'interessato ha dunque conseguito questi redditi nel 2012, nel 2013 e nel 2014, ma effettivamente non si è mai annunciato come persona esercitante un'attività di tipo indipendente. Né quando li ha incassati, né quando ha compilato le dichiarazioni di imposta IC/IFD 2012/2013/2014 e nemmeno quando ha ricevuto le relative notifiche di tassazione (doc. A8, A10 e A11), l'assicurato non si è dunque affiliato a una Cassa di compensazione. L’art. 64 cpv. 5 LAVS non lascia però alcun dubbio al riguardo. Come rettamente evidenziato dall'amministrazione, ogni persona esercitante un'attività lucrativa indipendente deve annunciarsi alla Cassa cantonale di compensazione se non è già affiliata (art. 64 cpv. 5 LAVS). In qualità di commerciante professionale di immobili - così è stato qualificato dall'autorità fiscale per questa operazione immobiliare ed egli non ha impugnato questa posizione -, l'insorgente ha dunque esercitato un'attività indipendente e, dal profilo delle assicurazioni sociali, doveva pertanto affiliarsi come tale nel 2012, con conseguente assoggettamento al prelievo di contributi personali fino al 2014. Se ciò fosse avvenuto tempestivamente la Cassa, basandosi sulle IFD 2012/2013/2014 (art. 23 cpv. 1 OAVS), avrebbe a suo tempo fissato i contributi per quegli anni e l 'interessato avrebbe dovuto già versare nel 2012, nel 2013 e nel 2014 i contributi sul reddito aziendale conseguito ogni anno. Ne discende che è a giusta ragione che, a posteriori (art. 39 cpv. 1 OAVS), la Cassa di compensazione ha fissato i contributi personali dovuti dal ricorrente sui redditi da attività indipendente che ha ripreso dalle notifiche di tassazione cresciute in giudicato (CHF 500'000, CHF 600'000, CHF 180'000), importi che l'autorità fiscale, a sua richiesta, ha confermato in due occasioni (doc. 5 e 12). L'8 aprile 2023 l'amministrazione ha perciò emanato le decisioni di fissazione dei contributi personali AVS/AI/IPG per gli anni arretrati di contribuzione 2012, 2013 e 2014, calcolando in CHF 50'220,40, in CHF 61'814,30 e in CHF 17'777,80 i contributi dovuti dall'interessato su questi redditi soggetti a contribuzione. 2.7.  Parallelamente a queste decisioni di fissazione dei contributi arretrati emanate conformemente all'art. 39 OAVS, la Cassa di compensazione ha emesso tre decisioni con cui ha calcolato gli interessi di mora dal 1° gennaio 2013/2014/2015 [ 1° gennaio dopo il termine dell'anno civile seguente l'anno di contribuzione] all'8 aprile 2024 [giorno della fatturazione]) in CHF 27'607,30, CHF 30'889,95 e CHF 7'995,10, poiché l'interessato avrebbe dovuto già versare nel 2012, nel 2013 e nel 2014 i contributi sui redditi aziendali conseguiti quegli stessi anni. La Cassa ha citato l'art. 41 bis cpv. 1 lett. f OAVS, secondo cui devono pagare gli interessi di mora le persone che esercitano un’attività lucrativa indipendente, sui contributi da compensare , qualora i contributi d’acconto siano almeno il 25% inferiori ai contributi effettivamente dovuti e non vengano versati fino al 1° gennaio dopo il termine dell’anno civile seguente l’anno di contribuzione, a partire dal 1° gennaio dopo tale termine. Con la risposta di causa l'amministrazione ha poi - giustamente - rettificato nell'art. 41 bis cpv. 1 lett. b OAVS la norma applicabile, che dispone che nel caso in cui un assicurato debba versare contributi arretrati , sia chiamato a pagare anche gli interessi di mora a far data dal 1° gennaio dopo il termine dell'anno civile per il quale i contributi sono dovuti. La lettera f di questo disposto, inizialmente indicata dalla Cassa, non è invece pertinente al caso, non avendo il ricorrente versato dei contributi d'acconto e non dovendo compensare i contributi. La pretesa contenuta nel ricorso di correggere nel 75% dei contributi stabiliti dalla Cassa l'ammontare definitivo da pagare in luogo del 100% fatturatogli va perciò respinta, siccome negli anni passati il ricorrente non ha versato nessun acconto su richiesta dell’amministrazione. Di conseguenza, egli non può pretendere di essere trattato allo stesso modo di chi, invece, gli acconti sui contributi dovuti li ha effettivamente versati alla Cassa di compensazione. Non va infatti dimenticato che sulla scorta di basi fattuali differenti, non vi è spazio per fare valere la pretesa violazione del principio generale dell'uguaglianza di trattamento. Due situazioni di fatto diverse richiedono l'applicazione di norme diverse e quindi da una situazione diversa non si può trarre le stesse conclusioni. In effetti, per il ricorrente, che non ha mai versato dei contributi sugli utili conseguiti negli anni 2012, 2013 e 2014, l'amministrazione ha applicato - in un secondo momento - la lettera b dell'art. 41 bis cpv. 1 LAVS, mentre per gli altri assicurati che hanno già versato degli acconti gli interessi di mora vanno stabiliti in applicazione della lettera f laddove i contributi d'acconto siano ameno il 25% inferiori ai contributi effettivamente dovuti. 2.8.  Giusta il N. 4009 DRC (Direttive sulla riscossione dei contributi (DRC) nell'AVS/AI e nelle IPG, valide dal 1° gennaio 2008, stato 1° gennaio 2014, edite dall'UFAS), sono considerati contributi arretrati reclamati per un anno civile passato quelli che non possono essere richiesti fino alla fine dell'anno civile per il quale sono dovuti. Sono considerati richiesti i contributi dei datori di lavoro che, con l'autorizzazione della Cassa di compensazione, versano i contributi effettivamente dovuti per il periodo di pagamento (art. 35 cpv. 3 OAVS). Per il N. 4011 DRC, rientrano nella regolamentazione concernente il reclamo di contributi arretrati in particolare: – i contributi salariali arretrati reclamati per gli anni civili passati in caso di affiliazione retroattiva del datore di lavoro; –    i contributi salariali arretrati reclamati per gli anni civili passati in base ad un controllo del datore di lavoro; –    i contributi personali arretrati reclamati per gli anni di contribuzione passati in caso di affiliazione retroattiva della persona assicurata; –    i contributi personali d'acconto arretrati reclamati per gli anni di contribuzione passati in caso di affiliazione retroattiva; –    i contributi personali arretrati reclamati in base ad una tassazione consecutiva ad una procedura per sottrazione d'imposte; –    i contributi salariali arretrati reclamati dopo l'avvenuta compensazione come anche i contributi personali arretrati reclamati, fatta eccezione per quelli che devono essere fatturati in base ad una rettifica della dichiarazione fiscale (v. N. 4021). Per il N. 4012 DRC, vanno riscossi interessi se vengono reclamati contributi arretrati per gli anni civili passati (art. 41 bis cpv. 1 lett. b OAVS). Secondo il N. 4013 DRC, gli interessi decorrono dal 1° gennaio successivo alla fine dell'anno civile per i quali i contributi sono dovuti fino alla fatturazione, a condizione che i contributi vengano versati entro 30 giorni dalla fatturazione (art. 39 cpv. 2 in relazione con l'art. 41 bis cpv. 1 lett. a e cpv. 2 OAVS) o, in caso contrario, fino al loro pagamento completo o all'apertura del fallimento (art. 209 LEF) oppure alla concessione di una moratoria concordataria, a condizione che il concordato non preveda disposizioni divergenti (art. 297 cpv. 7 LEF). 2.9.  Il ricorrente ha contestato l'ammontare degli interessi di mora siccome fatti decorrere già dal 2013, poiché le notifiche definitive di tassazione IFD 2012/2013/2014 sono del 3 maggio 2023 ed è dunque da allora che, se del caso, sarebbe tenuto al versamento di interessi di ritardo, ma non certo da prima, poiché è solo da quel momento che ha preso conoscenza definitiva dell'esistenza di un reddito da attività indipendente. L’argomento non è di pregio. Il ricorrente, sin dall’inizio dello svolgimento dell’attività immobiliare, non poteva non rendersi conto del fatto che la medesima poteva essere qualificata, come poi avvenuto, quale commercio professionale d’immobili e poteva, quindi, tempestivamente annunciarsi alla Cassa cantonale di compensazione AVS AI IPG. La giurisprudenza del Tribunale federale al riguardo appare chiara, pone delle condizioni rigorose e, soprattutto, è costante da anni. In merito si vedano le sentenze CDT 80.2016.78 del 23.09.2016, 80.2022.286 del 4 ottobre 2023 ed ancora la più recente 80.2023.62 del 6 dicembre 2023. In tema ci si riferisca alla STF 2C_1007/2016 del 28 marzo 2017, per non citarne che alcune. Come indicato, comunque, a prescindere da ciò, gli interessi sono dovuti dalle date indicate e precisate più oltre, per il vantaggio economico conseguito o conseguibile dal ritardo nel versamento dei contributi rispetto ai tempi imposti dalle norme, e quindi a prescindere dalla consapevolezza dell’assicurato debitore di avere svolto un’attività lucrativa indipendente (commercio d’immobili). Il N. 4001 DRC prevede, infatti, che gli interessi di mora sono interessi di compensazione in quanto tesi a retribuire l'utile conseguito dal debitore pagando i suoi contributi in ritardo con il danno subito dal creditore. Gli interessi di mora sono dovuti anche se il ritardo non è imputabile ad una manchevolezza della Cassa di compensazione né ad una colpa dell'assicurato. Pronunciandosi nell'ambito di fattispecie ticinesi concernenti persone esercitanti un'attività indipendente debitrici di contributi personali, alle quali è stata applicata per gli interessi di mora la lettera f dell'art. 41 bis cpv. 1 OAVS avendo versato acconti inferiori al 25% dei contributi effettivamente dovuti (DTF 134 V 405; STF 9C_623/2007, STF 9C_709/2007 e STF 9C_632/2007 tutte e tre del 26 settembre 2008), il Tribunale federale ha evidenziato che l'obbligo di versamento degli interessi moratori non ha carattere penale e matura indipendentemente da ogni colpa, perciò esso si giustificherebbe anche qualora la Cassa (o l'autorità fiscale) dovesse avere - per ipotesi - trascinato in maniera dilatoria la fissazione definitiva dei contributi (DTF 134 V 405 consid. 7.1; DTF 134 V 202 consid. 3.3.2; STFA H 157/04 del 14 dicembre 2004, consid. 3.4.2). I 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Per l'art. 41 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Questi concetti sono stati ribaditi nella DTF 139 V 297 come pure nella STF 9C_531/2015 del 22 marzo 2016. Questa Corte non ha motivo per scostarsi dalla costante giurisprudenza del Tribunale federale relativa alla funzione degli interessi di mora, giurisprudenza che si è espressa su questi specifici aspetti proprio in alcune fattispecie ticinesi che hanno interessato questo stesso TCA. 2.10.  Nell'evenienza concreta l'insorgente doveva ossequiare i suoi obblighi legali notificando immediatamente alla Cassa di compensazione il reddito da attività indipendente conseguito negli anni in esame, dopo la realizzazione di tali redditi. Così facendo egli avrebbe evitato la decorrenza di interessi moratori ai sensi dell'art. 41 bis cpv. 1 lett. b OAVS. Il fatto che egli non fosse al corrente, né a livello fiscale né dal profilo assicurativo, che dall'operazione immobiliare a cui ha partecipato è insorto un reddito come commerciante di immobili e che si trattava di un reddito da attività indipendente soggetto alle imposte e alla contribuzione AVS/AI/IPG, non lo mette ora al riparo dal doverne sopportare le conseguenze pagando i contributi e gli interessi. Come ricorda la giurisprudenza federale, a prescindere dall'esistenza di una colpa nell’omessa notifica tempestiva alla Cassa del conseguimento di redditi da attività indipendente derivati da un commercio professionale di immobili, la decorrenza di interessi di mora sui contributi (che il ricorrente doveva versare per gli anni di contribuzione 2012, 2013 e 2014) discende dal fatto che i contributi personali sono stati fissati l'8 aprile 2024 dalla Cassa, ciò che ha condotto l'assicurato a posticiparne per oltre 10 anni il versamento (dal 2012 al 2024). Per l’Alta Corte il ritardo dell’amministrazione fiscale o della Cassa nell’emanare le loro decisioni non permette all’assicurato di trarne un vantaggio (DTF 134 V 405 consid. 7.1; DTF 134 V 202 consid. 3.3.2). Tale ritardo nella determinazione dell’attività svolta e della quantificazione del reddito conseguito, ha comportato, per il ricorrente, un vantaggio di natura economica a suo favore (v. STCA 30.2023.7 del 12 giugno 2023; STCA 30.2019.19 del 6 novembre 2019; STCA 30.2019.16 del 23 settembre 2019; STCA 30.2019.6 del 29 maggio 2019; STCA 30.2017.47 del 9 febbraio 2018; STCA 30.2017.31-32 del 18 dicembre 2017). Per maggiore completezza si vedano anche le STCA 30.2017.9 del 10 maggio 2017, in cui la Cassa di compensazione ha emanato la decisione di fissazione dei contributi sei anni dopo la crescita in giudicato delle notifiche di tassazione IFD 2011 rispettivamente la STCA 30.2015.35 del 24 marzo 2016, in cui la Cassa di compensazione ha ritardato di un anno l'emanazione, nel 2015, della decisione di fissazione dei contributi dopo le notifiche di tassazione IFD 2008, 2009 e 2010 dell'ottobre 2014 o la STCA 30.2015.29 del 25 gennaio 2016, in cui la Cassa ha emesso la decisione di fissazione dei contributi per il 2010 dopo tre anni dalla notifica di tassazione IFD 2010. Il ricorrente, come indicato, ha potuto, durante questa attesa, disporre del controvalore dei contributi dovuti ed avrebbe potuto farli fruttare o usare il debito contributivo non ancora fatturato né saldato per evitare di finanziarsi presso terzi. La circostanza che egli ne abbia effettivamente tratto vantaggio o meno non è invece rilevante. Ne discende che soluzioni diverse da quella adottata dalla Cassa, come proposto dall'insorgente, non sono possibili. 2.11.  Alla luce delle considerazioni che precedono, il TCA conferma che, in applicazione dell'art. 41 bis cpv. 1 lett. b OAVS, sui contributi arretrati reclamati per gli anni 2012, 2013 e 2014 il ricorrente è di conseguenza tenuto a pagare degli interessi di mora, che decorrono dal 1° gennaio dopo il termine dell'anno civile per il quale i contributi sono dovuti fino all'emanazione della decisione di fissazione dei contributi. L'art. 41 bis cpv. 2 2a frase OAVS prevede, infatti, che in caso di reclamo di contributi arretrati gli interessi cessano di decorrere con la fatturazione, sempreché i contributi siano pagati entro il termine fissato, quindi entro 30 giorni dalla fatturazione. Ne discende che correttamente gli interessi di mora decorrono dal 1° gennaio 2013/2014/2015 e maturano fino all'8 aprile 2024. La decisione su opposizione impugnata va quindi confermata. 2.12.  L'art. 61 lett. f bis LPGA prevede che in caso di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