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30.2022.16 vom 30. Januar 2023</w:t>
      </w:r>
    </w:p>
    <w:p>
      <w:r>
        <w:t>TI Tribunale d'appello, 2023-01-30, IT</w:t>
      </w:r>
    </w:p>
    <w:p>
      <w:r>
        <w:rPr>
          <w:b/>
        </w:rPr>
        <w:t xml:space="preserve">Quelle: </w:t>
      </w:r>
      <w:r>
        <w:t>https://mcp.opencaselaw.ch/entscheid/ti_gerichte_30.2022.16</w:t>
      </w:r>
    </w:p>
    <w:p>
      <w:r>
        <w:t>FR: TI_GERICHTE 30.2022.16 du 30 janvier 2023</w:t>
      </w:r>
    </w:p>
    <w:p>
      <w:r>
        <w:t>IT: TI_GERICHTE 30.2022.16 del 30 gennaio 2023</w:t>
      </w:r>
    </w:p>
    <w:p>
      <w:pPr>
        <w:pStyle w:val="Heading2"/>
      </w:pPr>
      <w:r>
        <w:t>Regeste</w:t>
      </w:r>
    </w:p>
    <w:p>
      <w:r>
        <w:t>Calcolo dei contributi dovuti come indipendente. Conferma dell'ammontare del capitale proprio investito nell'azienda comunicato dal fisco. Di principio i dati sono vincolanti</w:t>
      </w:r>
    </w:p>
    <w:p>
      <w:pPr>
        <w:pStyle w:val="Heading2"/>
      </w:pPr>
      <w:r>
        <w:t>Erwägungen</w:t>
      </w:r>
    </w:p>
    <w:p>
      <w:r>
        <w:rPr>
          <w:b/>
        </w:rPr>
        <w:t>E. 2</w:t>
      </w:r>
    </w:p>
    <w:p>
      <w:r>
        <w:t>Pour étayer sa décision niant au "goodwill" acquis à titre onéreux la qualité de capital propre investi dans l'entreprise, au sens des normes de l'assurance-vieillesse et survivants, la Cour de céans s'est fondée essentiellement, dans l'arrêt publié au RO 99 V Bl, sur le fait que la jurisprudence relative à l'impôt pour la défense nationale, applicable à la cotisation AVS/AI/APG en vertu de l'art. 18 al. 2 RAVS, ne considérait pas le "goodwill" comme un élément de la fortune. Le Tribunal fédéral des assurances a même déclaré qu'un réexamen du problème n'était pas exclu, "si les efforts entrepris pour harmoniser les droits fiscaux cantonaux devaient aboutir" et "si l'on en venait à compter généralement le "goodwill" dans la fortune imposable". Or c'est précisément ce qui vient de se passer, pour le "goodwill" acquis à titre onéreux. Certes s'agit-il en l'occurrence d'une nouvelle opinion de l'Administration fédérale des contributions, partagée par la grande majorité des fiscs cantonaux. Mais, l'impôt complémentaire sur la fortune ayant été supprimé, sans que l'art. 18 al. 2 RAVS ait été modifié pour autant (afin de garantir une uniformité dans la communication, par les différentes autorités fiscales cantonales, du capital propre engagé dans l'entreprise), un tel avis doit être désormais décisif pour l'AVS, en lieu et place d'une législation abrogée et de la jurisprudence qui l'aurait interprétée. Que la nouvelle solution puisse présenter certains inconvénients, cela est possible. Mais il en allait de même sous l'empire de la pratique fiscale antérieure, ce qui n'a pas empêché la Cour de céans de s'en tenir à la norme claire de l'art. 18 al. 2 RAVS, qui prescrit l'évaluation du capital propre engagé dans l'exploitation suivant les dispositions de la législation fédérale sur l'IDN. Il ne saurait en aller autrement aujourd'hui. Cette adaptation de la jurisprudence a été approuvée par la Cour plénière.” Per il calcolo dei contributi è determinante il capitale proprio investito nell’azienda alla fine dell’esercizio commerciale chiuso nell’anno di contribuzione (marg. 1138 DIN). Per il marg. 4008 DIN il capitale proprio investito nell’azienda va determinato in base alla tassazione dell’imposta cantonale passata in giudicato e adeguata ai valori di ripartizione intercantonali (art. 23 cpv. 1 OAVS). La valutazione determinante per le autorità fiscali lo è anche per l’AVS. 2.6.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147 V 114, consid. 3.4.2; DTF 134 V 250 consid. 3.3 e riferimenti).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DTF 147 V 114, consid. 3.4.2. 2.7.  Nel caso di specie la Cassa di compensazione ha fissato i contributi dovuti dalla ricorrente nel 2012 sulla base di un reddito da attività indipendente di fr. 132'907 e di un capitale investito nell’azienda di fr. 129'206 (arrotondato a fr. 130'000), fondandosi sui dati evinti dalla tassazione fiscale 2012 emessa su reclamo il 4 marzo 2020 e cresciuta incontestata in giudicato (doc. 5 e 6; cfr. anche doc. VII/A), come da comunicazione del 29 aprile 2020 dell’ufficio circondariale di tassazione (doc. 6). L’insorgente contesta l’ammontare del capitale investito nell’azienda, ritenuto in particolare che occorrerebbe aggiungere il goodwill di fr. 240'000 o, in caso contrario, occorrerebbe dedurre il goodwill di fr. 240'000 dal reddito aziendale. La censura va respinta.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marg. 4008 DIN) e il giudice delle assicurazioni sociali esamina di principio la decisione fiscale unicamente dal profilo della legalità (sentenza 9C_710/2019 del 13 ottobre 2020, consid. 4.4.2). In concreto questo Tribunale non ha alcun motivo per scostarsi dai dati, vincolanti (cfr. art. 23 cpv. 4 OAVS), comunicati dal fisco ( DTF 147 V 114) . Il goodwill di fr. 240’000, come ammesso dalla medesima ricorrente, è infatti già stato ammortizzato fiscalmente negli anni precedenti, nella misura di fr. 120'000 nel 2009 e di fr. 120'000 nel 2010 (cfr. doc. I). L’ammortamento è stato preso in considerazione tramite riduzione del reddito della società in nome collettivo sia nella tassazione cantonale su reclamo del 2009 emessa il 22 gennaio 2020 (doc. F: cfr. “ reddito da soc. coll., in acc. o semplici coniuge ”: – 114'282; cfr. ricorso pag. 3 punto 4), sia nella tassazione cantonale su reclamo del 2010, di medesima data (doc. G: cfr. “ reddito da soc. coll., in acc. o semplici coniuge ”: - 99'213; cfr. ricorso pag. 3 punto 4). Esso poteva essere fatto valere (ciò che non significa ancora che va preso in considerazione, ma che la censura andrebbe semmai esaminata) negli anni di contribuzione 2009 (dove comunque l’interessata deve pagare solo il contributo minimo [doc. I]) e 2010. L’eventuale assenza di contestazioni dei contributi dovuti in quel biennio, non può essere un motivo per procedere con la presa in conto dell’ammortamento complessivo di fr. 240'000 nel 2012. È vero che le decisioni relative ai contributi dovuti nel 2009 e nel 2010 apparentemente non tengono conto dell’ammortamento (cfr. doc. I e J). Tuttavia la decisione definitiva del 2009 è stata emanata il 25 novembre 2014 (doc. I), mentre quella del 2010 il 19 novembre 2015 (doc. J), ossia prima dell’emissione delle tassazioni su reclamo del 22 gennaio 2020 degli anni 2009 e 2010 (quest’ultima apparentemente impugnata alla Corte di diritto tributario del Tribunale d’appello [cfr. doc. 5]), dove solo in seguito alle censure sollevate dalla ricorrente sono stati presi in considerazione gli ammortamenti di fr. 120'000 (cfr. doc. F e G: “ dati accertati ” e “ dati accertati su reclamo ” punto 2.3 relativo al reddito della società in nome collettivo “ coniuge ” che passa da 5'718 a – 114'282 nel 2009 e da 0 a – 99'123 nel 2010). Per cui la Cassa di compensazione, quando ha emesso le decisioni di fissazione dei contributi del 2009 e del 2010 sulla base dei dati allora a disposizione, non poteva tenere in considerazione l’ammortamento di fr. 120'000. Accertato che il fisco, nel 2009 e nel 2010, ha proceduto con l’ammortamento del goodwill, dal 2011 l’importo di fr. 240'000 non può più far parte del capitale proprio investito nella società. Del resto la stessa ricorrente nelle successive dichiarazioni fiscali ha indicato in fr. 113'150 il valore della sostanza netta investita nella società __________ (cfr. dichiarazione 2014, doc. W, pag. 5 [punto 28.1], pag. 7 [cfr. anche pag. 24]; cfr. ricorso, doc. I, pag. 7, tabella punto 8). La ricorrente non può da una parte, in sede fiscale, beneficiare di una riduzione dell’importo imposto quale sostanza netta investita in società di persone dal 2011, quando è passata dall’indicazione del prezzo di acquisto al valore nominale della partecipazione di __________, e dall’altro, in sede di calcolo dei contributi sociali, continuare a far valere il capitale proprio comprendente il goodwill di fr. 240'000, ormai ammortizzato in sede fiscale. A giusta ragione il fisco ha pertanto comunicato alla Cassa, quale capitale investito nell’azienda nel 2012, il capitale nominale della __________ (fr. 113'150) e la quota del capitale proprio notarile (fr. 16’056), per complessivi fr. 129’206. Del resto anche dalla DTF 100 V 48, citata dalla ricorrente e dal marginale 1130 DIN, emerge che il goodwill, e meglio il valore d'avviamento pagato dal compratore di un'azienda, costituisce capitale proprio investito nell'azienda, ma solo nella misura in cui esso viene preso in considerazione nella sostanza imponibile (“ Le Tribunal fédéral des assurances a même déclaré qu'un réexamen du problème n'était pas exclu, "si les efforts entrepris pour harmoniser les droits fiscaux cantonaux devaient aboutir" et "si l'on en venait à compter généralement le "goodwill" dans la fortune imposable". Or c'est précisément ce qui vient de se passer , pour le "goodwill" acquis à titre onéreux. ”, sottolineatura del redattore). Ciò a conferma che vincolante è la tassazione fiscale. Ancora recentemente, nella già citata DTF 147 V 114, al consid. 3.4.2 il Tribunale federale ha affermato che, per costante giurisprudenza, nell’ambito di una cessione di patrimonio, dove è in discussione la questione di sapere se la sostanza va qualificata di commerciale oppure privata, va di principio fatto riferimento a quanto stabilito dal fisco, ritenuto che anche in tale ambito la qualifica ha un’importanza significativa. Solo se vi sono dei dubbi manifesti circa la correttezza della tassazione fiscale, le casse di compensazione devono effettuare accertamenti (“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aber in: SVR 2014 AHV Nr. 7 S. 23). ”). La regola trae origine dalla circostanza secondo la quale il fisco esamina di norma in maniera approfondita la qualifica di un’attività economica se ha importanti ripercussioni a livello fiscale. Da questo principio, da quello dell’unità dell’ordinamento giuridico e dal contenuto dell’art. 23 cpv. 4 OAVS, occorre concludere che la qualifica della sostanza comunicata dal fisco è di norma vincolante per la Cassa di compensazione (“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 ”). Nel caso di specie la valutazione del capitale proprio della ricorrente ha ripercussioni anche in sede fiscale (cfr. punto 29.1 [ora: 28.1] della tassazione “ sostanza netta investita in società di persone ”). Essa è pertanto oggetto di attenta valutazione anche da parte delle autorità di tassazione. Non vi è pertanto alcun motivo per scostarsi dalle indicazioni del fisco. Va a questo proposito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In queste condizioni la ricorrente non può essere seguita laddove afferma che l’ammortamento ed il ruling fiscale ha conseguenze unicamente in ambito fiscale e non nell’ambito delle assicurazioni sociali.</w:t>
      </w:r>
    </w:p>
    <w:p>
      <w:r>
        <w:rPr>
          <w:b/>
        </w:rPr>
        <w:t>E. 2.8</w:t>
      </w:r>
    </w:p>
    <w:p>
      <w:r>
        <w:t>La ricorrente chiede il ricalcolo degli interessi di mora nella misura in cui l’ammontare del capitale proprio investito nell’azienda o del reddito da attività indipendente è modificato da questo Tribunale. Accertato che l’amministrazione ha utilizzato i dati corretti, l’importo degli interessi di mora va confermato. Del resto, va rammentato che per costante giurisprudenza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139 V 297; DTF 134 V 405 consid. 7.1; DTF 134 V 202 consid. 3.3.1; sentenza H 221/90 del 24 gennaio 1992 = ZAK 1992 pag. 167 seg. consid. 4b; STCA 30.2019.10-11 del 3 luglio 2019; STCA 30.2018.8 del 23 luglio 2018; STCA 30.2017.47 del 9 febbraio 2018).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La persona assicurata avrebbe infatti potuto, durante questa attesa, fare fruttare il debito contributivo non ancora fatturato né saldato. Irrilevante, invece, è che durante questo tempo abbia o no effettivamente tratto vantaggio in misura equivalente al tasso di interesse moratorio legale del 5%. L'obbligo di pagamento dell'interesse si fonda infatti sulla finzione di un guadagno di interessi della persona assicurata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2.9.  Alla luce di tutto quanto sopra esposto la decisione su opposizione impugnata merita conferma.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