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30.2021.2 vom 4. November 2020</w:t>
      </w:r>
    </w:p>
    <w:p>
      <w:r>
        <w:t>TI Tribunale d'appello, 2020-11-04, IT</w:t>
      </w:r>
    </w:p>
    <w:p>
      <w:r>
        <w:rPr>
          <w:b/>
        </w:rPr>
        <w:t xml:space="preserve">Quelle: </w:t>
      </w:r>
      <w:r>
        <w:t>https://mcp.opencaselaw.ch/entscheid/ti_gerichte_30.2021.2_d20201104</w:t>
      </w:r>
    </w:p>
    <w:p>
      <w:r>
        <w:t>FR: TI_GERICHTE 30.2021.2 du 4 novembre 2020</w:t>
      </w:r>
    </w:p>
    <w:p>
      <w:r>
        <w:t>IT: TI_GERICHTE 30.2021.2 del 4 novembre 2020</w:t>
      </w:r>
    </w:p>
    <w:p>
      <w:pPr>
        <w:pStyle w:val="Heading2"/>
      </w:pPr>
      <w:r>
        <w:t>Regeste</w:t>
      </w:r>
    </w:p>
    <w:p>
      <w:r>
        <w:t>Richiesta di restituzione di parte della rendita AVS per non avere comunicato alla cassa di compensazione il divorzio. Ricalcolo dell'amministrazione corretto. Prescrizione della restituzione relativa al primo mese chiesto. No buona fede</w:t>
      </w:r>
    </w:p>
    <w:p>
      <w:pPr>
        <w:pStyle w:val="Heading2"/>
      </w:pPr>
      <w:r>
        <w:t>Erwägungen</w:t>
      </w:r>
    </w:p>
    <w:p>
      <w:r>
        <w:rPr>
          <w:b/>
        </w:rPr>
        <w:t>E. 29</w:t>
      </w:r>
    </w:p>
    <w:p>
      <w:r>
        <w:t>cpv. 1 LAVS).</w:t>
      </w:r>
    </w:p>
    <w:p>
      <w:r>
        <w:t>-  dei redditi risultanti da unattività lucrativa (lett. a);</w:t>
      </w:r>
    </w:p>
    <w:p>
      <w:r>
        <w:t>-  degli accrediti per compiti educativi (lett. b);</w:t>
      </w:r>
    </w:p>
    <w:p>
      <w:r>
        <w:t>-  degli accrediti per compiti assistenziali (lett. c).</w:t>
      </w:r>
    </w:p>
    <w:p>
      <w:r>
        <w:t>L'irregolarità deve essere manifesta. Il Tribunale federale ha precisato (STF 8C_883/2008 del 31 marzo 2009, consid. 4.1.2):</w:t>
      </w:r>
    </w:p>
    <w:p>
      <w:r>
        <w:t>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w:t>
      </w:r>
    </w:p>
    <w:p>
      <w:r>
        <w:t>2.6.   In concreto, il 2 giugno 2020 lamministrazione è venuta a conoscenza di un fatto nuovo, ossia il divorzio del ricorrente la cui sentenza è cresciuta incontestata in giudicato il __________ 2014 (doc. A).</w:t>
      </w:r>
    </w:p>
    <w:p>
      <w:r>
        <w:t>Lamministrazione nella decisione impugnata ha sostenuto di aver dovuto riesaminare, rispettivamente procedere alla revisione della decisione del 28 maggio 2008 (recte: 2009), in quanto manifestamente errata e in quanto la modifica riveste unimportanza notevole, essendo venuta a conoscenza di un fatto nuovo.</w:t>
      </w:r>
    </w:p>
    <w:p>
      <w:r>
        <w:t>La Cassa confonde riconsiderazione e revisione.</w:t>
      </w:r>
    </w:p>
    <w:p>
      <w:r>
        <w:t>La decisione del 28 maggio 2009 è corretta. Infatti a quellepoca linsorgente era ancora sposato. Essa pertanto non è manifestamente errata e non va sottoposta a riconsiderazione.</w:t>
      </w:r>
    </w:p>
    <w:p>
      <w:r>
        <w:t>2.7.   Va ora esaminato se la decisione è tempestiva.</w:t>
      </w:r>
    </w:p>
    <w:p>
      <w:r>
        <w:t>Per lart. 25 cpv. 2 LPGA nel tenore fino al 31 dicembre 2020 il diritto di esigere la restituzione si estingue dopoun annoa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t>Secondo lart. 25 cpv. 2 LPGA in vigore dal 1° gennaio 2021 il diritto di esigere la restituzione si estinguetre anni dopoche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t>2.8.   In concreto la Cassa è venuta a conoscenza dello scioglimento del matrimonio il 2 giugno 2020 (cfr. doc. A; cfr. anche doc. 60 e 66) ed ha emanato la decisione formale il 4 novembre 2020.</w:t>
      </w:r>
    </w:p>
    <w:p>
      <w:r>
        <w:t>Essa è pertanto manifestamente tempestiva senza che sia necessario esaminare in concreto quale termine relativo (quello di un anno dellart. 25 cpv. 2 prima frase LPGA in vigore fino al 31 dicembre 2020 o quello di 3 anni dellart. 25 cpv. 2 prima frase LPGA in vigore dal 1° gennaio 2021), vada applicato.</w:t>
      </w:r>
    </w:p>
    <w:p>
      <w:r>
        <w:t>Lamministrazione il 4 novembre 2020 ha tuttavia chiesto la restituzione anche della rendita del mese di ottobre 2015, ossia oltre il termine assoluto di cinque anni di cui allart. 25 cpv. 2 LPGA.</w:t>
      </w:r>
    </w:p>
    <w:p>
      <w:r>
        <w:t>La Cassa non ha però indicato quale atto punibile per il quale il diritto penale prevede un termine di prescrizione più lungo sarebbe stato commesso, né, soprattutto, ha esaminato se gli elementi oggettivi e soggettivi previsti dalla norma penale eventualmente violata sarebbero adempiuti. Essa si è limitata a genericamente sostenere che linsorgente ha violato il suo obbligo di informare.</w:t>
      </w:r>
    </w:p>
    <w:p>
      <w:r>
        <w:t>Tale mancanza viola il diritto di essere sentito del ricorrente poiché impedisce la verifica della tempestività della richiesta di restituzione della rendita versata per il mese di ottobre 2015, non essendo chiaro quale termine di prescrizione, che permetterebbe alla Cassa di chiedere la restituzione di un mese supplementare, andrebbe applicato.</w:t>
      </w:r>
    </w:p>
    <w:p>
      <w:r>
        <w:t>In assenza dellindicazione della norma penale violata e dellesame degli elementi costitutivi del presunto reato commesso dallinsorgente, la restituzione della rendita del mese di ottobre 2015 va pertanto annullata.</w:t>
      </w:r>
    </w:p>
    <w:p>
      <w:r>
        <w:t>Limporto indebitamente percepito dl ricorrente va ridotto di fr. 56 (fr. 2'350  fr. 2'294), per un totale complessivo dovuto di fr. 3'439 (3'495  56).</w:t>
      </w:r>
    </w:p>
    <w:p>
      <w:r>
        <w:t>2.9.   Linsorgente sostiene tuttavia di essere in buona fede, poiché sarebbe spettato ad altre autorità notificare il suo divorzio.</w:t>
      </w:r>
    </w:p>
    <w:p>
      <w:r>
        <w:t>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(sentenza 9C_639/2011 consid. 3 = SVR 2013 IV n. 2), di pagamento di prestazioni a terzi (DTF 121 V 17 consid. 2) o di condono della restituzione di prestazioni (DTF 122 V 221, consid. 2: [] Folglich ist hier nur mehr streitig, ob die Vorinstanz die Erlassvoraussetzungen zu Recht als erfüllt erachtet hat.Nach ständiger Rechtsprechung geht es somit nicht um die Bewilligung oder Verweigerung von Versicherungsleistungen im Sinne von Art. 132 OG (BGE 112 V 100 Erw. 1b mit Hinweisen) []; cfr. Bundesgesetz über die Invalidenversicherung, in: Rechtsprechung des Bundesgerichts zum Sozialversicherungsrecht, 3a edizione, 2014, n. 4 ad art. 69 pag. 585; cfr. ancheKieser, ATSG Kommentar, 2015, 3a edizione, n. 61 ad art. 61, pag. 808).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