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30.2020.3 vom 9. Juni 2020</w:t>
      </w:r>
    </w:p>
    <w:p>
      <w:r>
        <w:t>TI Tribunale d'appello, 2020-06-09, IT</w:t>
      </w:r>
    </w:p>
    <w:p>
      <w:r>
        <w:rPr>
          <w:b/>
        </w:rPr>
        <w:t xml:space="preserve">Quelle: </w:t>
      </w:r>
      <w:r>
        <w:t>https://mcp.opencaselaw.ch/entscheid/ti_gerichte_30.2020.3</w:t>
      </w:r>
    </w:p>
    <w:p>
      <w:r>
        <w:t>FR: TI_GERICHTE 30.2020.3 du 9 juin 2020</w:t>
      </w:r>
    </w:p>
    <w:p>
      <w:r>
        <w:t>IT: TI_GERICHTE 30.2020.3 del 9 giugno 2020</w:t>
      </w:r>
    </w:p>
    <w:p>
      <w:pPr>
        <w:pStyle w:val="Heading2"/>
      </w:pPr>
      <w:r>
        <w:t>Regeste</w:t>
      </w:r>
    </w:p>
    <w:p>
      <w:r>
        <w:t>Domanda di condono dell'obbligo di restituire l'importo non plafonato della rendita AVS dopo la ripresa della vita comune con il coniuge. Assenza del presupposto della buona fede</w:t>
      </w:r>
    </w:p>
    <w:p>
      <w:pPr>
        <w:pStyle w:val="Heading2"/>
      </w:pPr>
      <w:r>
        <w:t>Erwägungen</w:t>
      </w:r>
    </w:p>
    <w:p>
      <w:r>
        <w:rPr>
          <w:b/>
        </w:rPr>
        <w:t>E. 1</w:t>
      </w:r>
    </w:p>
    <w:p>
      <w:r>
        <w:t>LPGA le prestazioni, i crediti e le ingiunzioni che non sono contemplati nell’art. 49 cpv. 1 possono essere sbrigati con una procedura semplificata. L’art. 51 cpv. 2 LPGA prevede che l’interessato può esigere che sia emanata una decisione. Per 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2.3.   In concreto la Cassa ha emanato due decisioni su opposizione. Con la decisione su opposizione del 30 dicembre 2019 la CO 1 ha preso posizione sulle censure della ricorrente in merito alla contestazione della decisione formale dell’8 novembre 2019 con cui ha respinto la domanda di condono in assenza del requisito della buona fede. L’amministrazione ha pure deciso di procedere, dal mese di febbraio 2020, con la compensazione mensile di fr. 600 (secondo le motivazioni) / fr. 400 (secondo il dispositivo) tra la rendita di vecchiaia e l’importo da restituire, dopo aver effettuato il calcolo del fabbisogno della ricorrente. In concreto la Cassa ha pertanto deciso nella decisione su opposizione del 30 dicembre 2019, senza emettere dapprima una decisione formale, circa la compensazione tra la rendita AVS erogata alla ricorrente e l’importo che l’assicurata deve restituire mensilmente. In seguito alle contestazioni sollevate dall’interessata, l’amministrazione ha tuttavia emesso una nuova decisione su opposizione datata 17 gennaio 2019 (recte: 2020) tramite la quale ha esaminato le censure della ricorrente in merito al calcolo del minimo vitale, confermando la compensazione e correggendo il dispositivo relativo alla compensazione (fr. 600 in luogo di fr. 400 al mese). Rilevato che la Cassa ha in sostanza trattato la decisione su opposizione del 30 dicembre 2019 alla stregua di una decisione formale per quanto concerne la compensazione dell’importo da restituire con la prestazione erogata ed ha emanato una nuova decisione su opposizione in cui ha esaminato le contestazioni sollevate con scritto del 9 gennaio 2020 dall’assicurata in merito alla compensazione ed alla discrepanza tra quanto figurava nelle motivazioni e quanto era indicato nel dispositivo in merito all’importo della compensazione, e che comunque la ricorrente con il suo gravame al TCA contesta unicamente la reiezione della domanda di condono ma non, di per sé, la compensazione, questo Tribunale può entrare nel merito del ricorso. Del resto il ricorso è successivo all’emanazione di entrambe le decisioni su opposizione, che per quanto concerne la reiezione della domanda di condono, unico oggetto contestato dall’insorgente, giungono alla medesima conclusione (cfr. doc. 2 e 8). nel merito 2.4.   Ai sensi dell’art. 25 cpv. 1 LPGA applicabile alla restituzione di prestazioni versate sulla base della LAVS (art. 1 LAVS), le prestazioni indebitamente riscosse devono essere restituite. La restituzione non deve essere chiesta se l'interessato era in buona fede e verrebbe a trovarsi in gravi difficoltà (cfr. anche art. 4 OPGA). Relativamente alla buona fede, la giurisprudenza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(DTF 122 V 221 consid. 3 con riferimenti; STF 8C_102/2020 del 1° maggio 2020, consid. 4.2; STF 8C_535/2018 del 29 ottobre 2018, consid. 5.2; STF 9C_181/2017 del 6 giugno 2017, consid. 3.2; STF 9C_413/2016 del 26 settembre 2016 consid. 3.1 = SVR 2017 AHV Nr. 3 pag. 5). La buona fede non è infatti compatibile con un comportamento di grave negligenza da parte dell'assicurato (STF 8C_102/2020 del 1° maggio 2020, consid. 4.1; DTF 138 V 218 consid. 4 con riferimenti). Compete al giudice, sulla base di un criterio oggettivo, determinare il grado dell’attenzione richiesta, considerato tuttavia che non può essere fatta astrazione dell’aspetto soggettivo (capacità di giudizio, situazione valetudinaria, grado di formazione, ecc.), della persona assicurata (DTF 138 V 218 consid. 4 con riferimenti; STF 8C_102/2020 del 1° maggio 2020, consid. 4.1; STF 8C_448/2017 del 3 gennaio 2018, consid. 2.1). La buona fede deve essere quindi esclusa, qualora i fatti che hanno determinato l'obbligo di restituire (violazione dell'obbligo di annunciare o di informare, cfr. artt. 31 LPGA) siano imputabili a comportamento doloso o negligenza grave dell'interessato. Viceversa, l'assicurato può prevalersene quando l'atto o l'omissione colpevole siano costitutivi unicamente di una violazione lieve dell'obbligo di annunciare o di informare (STF 8C_102/2020 del 1° maggio 2020, consid. 4.1; DTF 138 V 218 consid. 4 con riferimenti; STF 8C_865/2008 del 27 gennaio 2009, consid. 4; STFA C 292/02 del 15 marzo 2004, consid. 2.3; SVR 2007 ALV Nr. 5 p.17; Pratique VSI 1994 pp. 125ss; DTF 118 V 218, 112 V 105, 110 V 180, 102 V 245; Meyer, Rechtsprechung des Bundesgerichtes zum IVG, 2010, p. 407) oppure se non ha violato tale obbligo (Meyer-Blaser, op. cit., pp. 481s). 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(DTF 138 V 218 consid. 4 con riferimenti; STF 8C_102/2020 del 1° maggio 2020, consid. 4.1; STF 9C_19/2018 del 28 febbraio 2018 consid. 1; STF 8C_448/2017 del 3 gennaio 2018, consid. 2.1; STF 8C_243/2016 del 7 luglio 2016 consid. 4.1; STF 9C_14/2007 del 2 maggio 2007, consid. 4.1=SVR 6/2008 Nr. 13, consid. 4.1 a pag 41; STF I 622/05 del 14 agosto 2006, consid. 3.1=SVR 3/2007 Nr. 13, consid. 3.1 a pag 49 e 4.3 a pag. 50). La buona fede non va esclusa unicamente in presenza di una violazione dell’obbligo di informare. Anche altri atteggiamenti, per esempio la mancata richiesta di delucidazioni presso l’amministrazione, possono costituire un comportamento contrario alla buona fede (STF 8C_102/2020 del 1° maggio 2020, consid. 4.1; STF 8C_178/2018 del 6 agosto 2018 consid. 3.1; STF 9C_184/2015 dell’8 maggio 2015 consid. 2). Il requisito della grave difficoltà ai sensi dell’art. 25 cpv. 1 LPGA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(artt. 4 e 5 OPGA). L’art. 5 cpv. 1 OPGA stabilisce che vi un onere gravoso (grave difficoltà) se le spese ai fini della LPC e le spese supplementari ex art. 5 cpv. 4 OPGA superano i redditi determinanti secondo la LPC. 2.5.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STF 9C_184/2015 dell’8 maggio 2015 e STF 9C_413/2016 del 26 settembre 2016. 2.6.   In concreto dagli atti emerge che il 2 maggio 2019 il Comune di __________, interpellato dalla Cassa, ha confermato che l’insorgente è domiciliata in via __________ (pag. 100), dal 2 maggio 2012 (doc. 99), come suo marito. Con decisione del 22 maggio 2019, preso atto della ripresa della vita comune e dunque della loro convivenza dal 2 maggio 2012 e tenuto conto della prescrizione quinquennale, la Cassa ha ricalcolato il diritto della ricorrente alla prestazione di vecchiaia dal 1° giugno 2014, tenendo in considerazione il plafonamento della sua rendita con quella del marito ed ha fissato in fr. 17’828 l’importo da restituire (pag. 93). Con decisione su opposizione del 9 agosto 2019, cresciuta incontestata in giudicato, la Cassa ha confermato l’obbligo di restituzione per entrambi i coniugi (pag. 54). Il 10 ottobre 2019 l’insorgente ha inoltrato una domanda di condono (pag. 25). 2.7.   In primo luogo va evidenziato che la questione della ripresa della vita comune è già stata risolta nell’ambito della procedura di restituzione delle prestazioni indebitamente ricevute dall’assicurata e la decisione su opposizione del 9 agosto 2019 è cresciuta incontestata in giudicato. Nella misura in cui l’insorgente contesta la convivenza, le sue censure si rivelano di conseguenza irricevibili. In secondo luogo questo Tribunale, alla luce dello svolgimento dei fatti, deve concludere che la buona fede della ricorrente non può essere riconosciuta. L’interessata infatti non ha mai informato la CO 1 circa la ripresa della vita comune con il marito, il quale, come emerge dalla decisione impugnata, si è limitato a notificare all’amministrazione una casella postale a __________. Ora, nella decisione di rendita del 25 agosto 2009 figura espressamente che vi è un obbligo di informazione in particolare in caso di “ rinnovata comunione domestica di coniugi separati mediante disposizione del giudice, le cui rendite non sono più sottoposte alle disposizioni relative alla fissazione di un limite massimo ” (pag. 19), ossia la situazione della ricorrente (cfr. anche pag. 60). Per cui una semplice comunicazione di modifica dell’indirizzo non è sufficiente. La circostanza che la Cassa nel corso del mese di febbraio 2013 abbia chiesto al Comune di __________ l’indirizzo esatto del marito e che abbia ricevuto come risposta l’indicazione che l’interessato era domiciliato in via __________ (pag. 2 decisione su opposizione), ossia al medesimo indirizzo della moglie, non è atto a far ritenere buona fede della ricorrente. Da una parte quest’ultima non ha comunque comunicato alla Cassa di aver ripreso la vita comune con il proprio coniuge e dall’altra l’interessata avrebbe in ogni caso dovuto informarsi presso la Cassa del motivo per il quale, malgrado il ricongiungimento con il marito, da cui non ha divorziato, l’ammontare della sua rendita non era stato modificato. Al riguardo va fatto riferimento alle sentenze citate al consid. 2.5. L’interessata, che ha ripreso a convivere con il marito dal quale si era in passato separata, non poteva in buona fede continuare a percepire per anni il medesimo importo della rendita di vecchiaia (riservato l’adeguamento all’evoluzione dei prezzi e del salari [art. 33ter LAVS]) senza mai chiedere delucidazioni alla Cassa delle ragioni per le quali, malgrado la ripresa della vita comune, non vi fosse stata alcuna modifica della prestazione (cfr. le citate DTF 138 V 218; 9C_453/2011 del 15 settembre 2011 e DLA 2005 N. 7 pag. 70). È infatti notorio che l’ammontare delle due rendite per coniugi, di norma, viene plafonato e che di regola marito e moglie, se convivono, non percepiscono l’importo pieno della rendita di vecchiaia. Visto l’evidente divario tra le prestazioni dovute e quelle effettivamente percepite (dal giugno 2014 al dicembre 2014 la ricorrente ha ricevuto mensilmente fr. 363 in troppo, dal gennaio 2015 al dicembre 2018 fr. 364 e da gennaio 2019 fr. 368 [cfr. pag. 93]), va escluso che in concreto si tratti di un caso di negligenza lieve (cfr. DLA 2005 N. 7 pag. 70). Alla luce di quanto sopra, e meglio l’assenza di qualsiasi richiesta di delucidazione alla CO 1, non è d’aiuto alla ricorrente la circostanza che suo marito avrebbe notificato il cambio di indirizzo all’UT competente e all’__________ che ne avrebbero tenuto conto, notificandogli tassazioni con l’indicazione “ separato di fatto ” e sussidi di cassa malati all’indirizzo comune. Né, per i motivi sopra esposti, può esserle d’aiuto l’asserita notifica, da parte del coniuge, del cambiamento d’indirizzo all’__________ dove si trova anche la Cassa __________ presso la quale il marito sarebbe affiliato dal 1987. Del resto la ricorrente ben sapeva che avrebbe dovuto notificare le modifiche direttamente alla CO 1, ritenuto che da tale Cassa riceveva e riceve tutt’ora la rendita di vecchiaia (cfr. anche pag. 19). Ne segue che, senza che sia necessario esaminare il requisito cumulativo della grave difficoltà, la domanda di condono, in assenza del requisito della buona fede, deve essere respinta. Alla luce di tutto quanto sopra esposto il ricorso va respinto, mentre la decisione su opposizione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