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30.2019.8 vom 14. März 2019</w:t>
      </w:r>
    </w:p>
    <w:p>
      <w:r>
        <w:t>TI Tribunale d'appello, 2019-03-14, IT</w:t>
      </w:r>
    </w:p>
    <w:p>
      <w:r>
        <w:rPr>
          <w:b/>
        </w:rPr>
        <w:t xml:space="preserve">Quelle: </w:t>
      </w:r>
      <w:r>
        <w:t>https://mcp.opencaselaw.ch/entscheid/ti_gerichte_30.2019.8</w:t>
      </w:r>
    </w:p>
    <w:p>
      <w:r>
        <w:t>FR: TI_GERICHTE 30.2019.8 du 14 mars 2019</w:t>
      </w:r>
    </w:p>
    <w:p>
      <w:r>
        <w:t>IT: TI_GERICHTE 30.2019.8 del 14 marzo 2019</w:t>
      </w:r>
    </w:p>
    <w:p>
      <w:pPr>
        <w:pStyle w:val="Heading2"/>
      </w:pPr>
      <w:r>
        <w:t>Erwägungen</w:t>
      </w:r>
    </w:p>
    <w:p>
      <w:r>
        <w:rPr>
          <w:b/>
        </w:rPr>
        <w:t>E. 13</w:t>
      </w:r>
    </w:p>
    <w:p>
      <w:r>
        <w:t>gennaio 2016, consid.5.1; DTF 139 III 126 consid. 3.2.1; DTF 123 III 16 consid. 2a; DTF 121 III 474 consid.4a; DTF 113 V 159 consid. 1c).</w:t>
      </w:r>
    </w:p>
    <w:p>
      <w:r>
        <w:t>La Cassa a torto ha emesso unadecisione formaledi non entrata nel merito della domanda di riconsiderazione e della domanda di revisione, indicando quali mezzi di diritto il reclamo allamministrazione tranne in caso di contestazione della non entrata nel merito della riconsiderazione.</w:t>
      </w:r>
    </w:p>
    <w:p>
      <w:r>
        <w:t>Come sostenuto dalla ricorrente, la decisione impugnata, alla luce della vincolante sentenza di rinvio, deve essere qualificata quale decisione su opposizione. La conseguenza dellerrore non è tuttavia lannullamento della decisione. Accertato che linteressata ha potuto contestare diffusamente tramite un ricorso motivato e nei termini previsti dalla legge il provvedimento, il TCA deve esaminare limpugnativa.</w:t>
      </w:r>
    </w:p>
    <w:p>
      <w:r>
        <w:t>Nella procedura di ricorso in materia amministrativa sono di massima esaminabili e giudicabili solo i rapporti giuridici sui quali la competente autorità amministrativa si è precedentemente, e in maniera vincolante, determinata con una decisione (sentenza 8C_16/2010 del 3 maggio 2010). Di conseguenza, se non è (ancora) stata emessa una decisione (o una decisione su opposizione), manca l'oggetto impugnato e quindi un presupposto processuale (DTF 131 V 164 consid. 2.1 pag. 164 e seg.; 125 V 413 consid. 1a pag. 414 con riferimenti; cfr. pure sentenza 8C_549/2007 del 30 maggio 2008 consid. 4).</w:t>
      </w:r>
    </w:p>
    <w:p>
      <w:r>
        <w:t>In concreto con la decisione impugnata del 14 marzo 2019 la Cassa ha deciso di non entrare nel merito della richiesta di revisione e di riconsiderazione.</w:t>
      </w:r>
    </w:p>
    <w:p>
      <w:r>
        <w:t>Laddove la ricorrente contesta anche i conguagli degli anni 2017 e 2018 il suo ricorso si rivela irricevibile.</w:t>
      </w:r>
    </w:p>
    <w:p>
      <w:r>
        <w:t>2.4.   La ricorrente sostiene che la decisione non sarebbe sufficientemente motivata, poiché non avrebbe spiegato il motivo del mancato adeguamento degli acconti, e fa valere una violazione del diritto di essere sentita.</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lamministrazione nella decisione impugnata, ha indicato le ragioni per le quali, a suo parere, non deve entrare nel merito della domanda di riconsiderazione e della domanda di revisione, indicando di non essere tenuta ad esaminare la prima (punto 3.2 della decisione) e di non essere dati i presupposti per accogliere la seconda (punto 3.1 della decisione).</w:t>
      </w:r>
    </w:p>
    <w:p>
      <w:r>
        <w:t>La decisione appare motivata e la ricorrente ha potuto impugnarla indicando diffusamente le ragioni per le quali ritiene invece date le condizioni per una revisione ed una riconsiderazione delle decisioni con le quali sono stati fissati gli interessi del 2013 e del 2014.</w:t>
      </w:r>
    </w:p>
    <w:p>
      <w:r>
        <w:t>Su questo punto non vi è pertanto alcuna violazione del diritto di essere sentita.</w:t>
      </w:r>
    </w:p>
    <w:p>
      <w:r>
        <w:t>2.5.   La Cassa con la decisione impugnata non è entrata nel merito della domanda di revisione.</w:t>
      </w:r>
    </w:p>
    <w:p>
      <w:r>
        <w:t>In realtà, non avendo riscontrato motivi per una revisione, lamministrazione avrebbe dovuto respingere la domanda. La non entrata nel merito, come si vedrà meglio in seguito, è riservata alla riconsiderazione.</w:t>
      </w:r>
    </w:p>
    <w:p>
      <w:r>
        <w:t>Rilevato che dalla motivazione del provvedimento amministrativo emerge chiaramente che lintenzione della Cassa era il respingimento della domanda, avendo indicato le ragioni per le quali non sono date le condizioni per procedere con una revisione, per motivi di economia procedurale questo TCA rinuncia ad un annullamento della decisione.</w:t>
      </w:r>
    </w:p>
    <w:p>
      <w:r>
        <w:t>Infatti, alla lettura del ricorso emerge che la ricorrente ha compreso che lamministrazione ha respinto la sua richiesta eil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Nel caso di specie un secondo rinvio allamministrazione per violazione del diritto di essere sentito prolungherebbe inutilmente la procedura.</w:t>
      </w:r>
    </w:p>
    <w:p>
      <w:r>
        <w:t>nel merito</w:t>
      </w:r>
    </w:p>
    <w:p>
      <w:r>
        <w:t>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all'istante(cfr. STF 9C_677/2014 e 9C_678/2014 del 4 febbraio 2015 consid. 8.2.; STF 8C_756/2012 del 17 luglio 2013 consid. 4.2.; DTF 127 V 353 consid. 5b; DTF 122 V 134 e seg.; STFA C 354/01 del 7 marzo 2003; DLA 1995, p. 64 consid. 2b e riferimenti).</w:t>
      </w:r>
    </w:p>
    <w:p>
      <w:r>
        <w:t>Inoltre, i fatti nuovi devono essere rilevanti, ovvero essere idonei a modificare la base fattuale della decisione e a condurre, attraverso un appropriato apprezzamento giuridico, ad una diversa decisione</w:t>
      </w:r>
    </w:p>
    <w:p>
      <w:r>
        <w:t>I nuovi mezzi di prova devono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w:t>
      </w:r>
    </w:p>
    <w:p>
      <w:r>
        <w:t>Un mezzo di prova è considerato come concludente, qualora si debba ammettere che avrebbe condotto ad una diversa decisione, nel caso in cui l'assicuratore ne avesse avuto conoscenza nella procedura amministrativa (cfr.STF 8C_756/2012 del 17 luglio 2013 consid. 4.2.).</w:t>
      </w:r>
    </w:p>
    <w:p>
      <w:r>
        <w:t>In sostanza, il nuovo mezzo di prova non deve solo servire ad apprezzare i fatti ma pure ad accertarli (cfr.STF 9C_677/2014 e 9C_678/2014 del 4 febbraio 2015 consid. 8.2.;DTF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(cfr.DTF 127 V 353 consid. 5b).</w:t>
      </w:r>
    </w:p>
    <w:p>
      <w:r>
        <w:t>2.10.   Riguardo alla revisione processuale giova, inoltre, rilevare che in una sentenza pubblicata in RAMI 1994 U 191 pag. 145 segg.,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A.Rumo-Jungo, Die Instrumente zur Korrektur der Sozialversicherungsverfügung,inR. Schaffauser/F. Schlauri (Hrsg.), Verfahrensfragen in der Sozialversicherung, San Gallo 1996, pag. 291).</w:t>
      </w:r>
    </w:p>
    <w:p>
      <w:r>
        <w:t>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w:t>
      </w:r>
    </w:p>
    <w:p>
      <w:r>
        <w:t>I termini appena citati sono stati dichiarati applicabili anche successivamente all'entrata in vigore della LPGA.</w:t>
      </w:r>
    </w:p>
    <w:p>
      <w:r>
        <w:t>Infatti, benché l'art. 53 LPGA non li preveda espressamente, resta determinante quanto stabilito dall'art. 67 cpv. 1 e 2 PA.</w:t>
      </w:r>
    </w:p>
    <w:p>
      <w:r>
        <w:t>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w:t>
      </w:r>
    </w:p>
    <w:p>
      <w:r>
        <w:t>Questo TCA, accertato che lincarto prodotto dalla Cassa nella procedura parallela (30.2019.10-11) è lo stesso di quello trasmesso con la presente risposta di causa, che il parallelo ricorso porta sulla contestazione nel merito della decisione su opposizione relativa alla fissazione degli interessi di mora 2015 e 2016 e che lacquisizione di ulteriori tassazioni IFD è ininfluente ai fini dellesito della vertenza alla luce sia della circostanza che è stato accertato tramite la documentazione prodotta in questa sede dalla medesima ricorrente che la Cassa e la stessa interessata conoscevano limportante aumento del reddito da attività lucrativa indipendente prima dellemissione delle decisioni di cui è chiesta la revisione sia del fatto che per i motivi esposti non vi sono motivi di revisione, e dunqueritenuto che, in seguito agli accertamenti eseguiti, i fatti sono stati comprovati e nessun provvedimento probatorio supplementare potrebbe modificare tale apprezzamento, rinuncia allassunzione di ulteriori prove (sentenza 9C_394/2016 del 21 novembre 2016, consid. 6.2).</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