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30.2018.6 vom 18. Juni 2018</w:t>
      </w:r>
    </w:p>
    <w:p>
      <w:r>
        <w:t>TI Tribunale d'appello, 2018-06-18, IT</w:t>
      </w:r>
    </w:p>
    <w:p>
      <w:r>
        <w:rPr>
          <w:b/>
        </w:rPr>
        <w:t xml:space="preserve">Quelle: </w:t>
      </w:r>
      <w:r>
        <w:t>https://mcp.opencaselaw.ch/entscheid/ti_gerichte_30.2018.6</w:t>
      </w:r>
    </w:p>
    <w:p>
      <w:r>
        <w:t>FR: TI_GERICHTE 30.2018.6 du 18 juin 2018</w:t>
      </w:r>
    </w:p>
    <w:p>
      <w:r>
        <w:t>IT: TI_GERICHTE 30.2018.6 del 18 giugno 2018</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(sentenza 9C_308/2017 del 17 maggio 2018, consid. 4.2 e 6.1, destinata a pubblicazione; sentenza 9C_538/2017 del 12 aprile 2018, consid. 4.2; sentenza H 322/03 dell'11 marzo 2005; sentenza H 31/04 del 21 marzo 2005).</w:t>
      </w:r>
    </w:p>
    <w:p>
      <w:r>
        <w:t>In particolare, insolite costruzioni di diritto civile che devono servire a motivare un certo statuto di contribuzione qui non hanno alcun valore (sentenza 9C_308/2017 del 17 maggio 2018 destinata a pubblicazione).</w:t>
      </w:r>
    </w:p>
    <w:p>
      <w:r>
        <w:t>2.2.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9C_308/2017 del 17 maggio 2018 destinata a pubblicazione,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2.3.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2.4.Il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2.5.Nella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sentenza 9C_213/2016 del 17 ottobre 2016, consid. 3.2 con riferimenti).</w:t>
      </w:r>
    </w:p>
    <w:p>
      <w:r>
        <w:t>A questo proposito il TF ha recentemente rammentato che il rischio economico dellimprenditore può essere definito come la possibilità di incorrere in perdite di sostanza economica della società a causa di valutazioni o comportamenti professionali inadeguati (sentenza 9C_538/2017 del 12 aprile 2018, consid. 5.5.2).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2.6.   In concreto linsorgente l11 maggio 2011 è stato affiliato quale muratore indipendente (doc. 4) con effetto dal 1° aprile 2011, tenuto conto delle seguenti osservazioni: Su preavviso __________ __________. Indipendente quanto lavora in nome e per proprio conto per clienti privati. Salariato quando presta la propria manodopera a ditte del ramo e alla ditta TERZ 1 di __________ (doc. 3).</w:t>
      </w:r>
    </w:p>
    <w:p>
      <w:r>
        <w:t>Accertato che nel 2015 e nel 2016 il ricorrente ha conseguito la totalità della propria cifra daffari grazie al lavoro eseguito a favore della ditta TERZ 1, la Cassa lo ha qualificato di dipendente.</w:t>
      </w:r>
    </w:p>
    <w:p>
      <w:r>
        <w:t>Alla luce della giurisprudenza, della documentazione prodotta dalle parti e delludienza tenutasi il 29 maggio 2018, questo Tribunale deve confermare la qualifica effettuata dallamministrazione.</w:t>
      </w:r>
    </w:p>
    <w:p>
      <w:r>
        <w:t>Il ricorrente, malgrado potesse gestire in apparenza lattività di muratore indipendente con una certa libertà, durante il periodo 2015-2016 non si è assunto alcun rischio aziendale tipico di un imprenditore ed è stato subordinato alla TERZ 1 dal punto di vista organizzativo ed economico.</w:t>
      </w:r>
    </w:p>
    <w:p>
      <w:r>
        <w:t>Egli non ha operato nessun investimento importante, non ha subito alcuna perdita, non ha sopportato alcun rischio dincasso e delcredere, non ha agito in proprio nome e per proprio conto, non si è procurato da solo i mandati, non ha occupato personale e non ha utilizzato locali commerciali propri (sentenza 9C_538/2017 del 12 aprile 2018, consid. 5.5.2 con riferimento alla sentenza 9C_213/2016 del 17 ottobre 2016, consid. 3.4).</w:t>
      </w:r>
    </w:p>
    <w:p>
      <w:r>
        <w:t>Dalludienza del 29 maggio 2018 è emerso che il ricorrente, che non ha mai rifiutato alcun lavoro propostogli dalla TERZ 1, non ha acquistato alcun tipo di materiale necessario allesercizio della sua attività ed ha fatto capo esclusivamente alle strutture della TERZ 1, la quale gli procurava il lavoro. Egli svolgeva sovente la propria attività insieme ad un manovale dipendente della TERZ 1 e completava e rifiniva i lavori eseguiti dalla società, alla quale fatturava lattività svolta.</w:t>
      </w:r>
    </w:p>
    <w:p>
      <w:r>
        <w:t>Lincasso avveniva esclusivamente per conto della ditta e non vi era alcun rapporto tra il ricorrente ed il cliente finale, al quale la società trasmetteva la fattura comprendente sia le ore lavorate dal ricorrente, sia quelle lavorate dai propri dipendenti sia il materiale necessario per lesecuzione dellopera (doc. X).</w:t>
      </w:r>
    </w:p>
    <w:p>
      <w:r>
        <w:t>Nei confronti del cliente finale unica responsabile era la TERZ 1. Nei rarissimi casi in cui vi sono state delle lamentele per il lavoro svolto, è stata la stessa società a riconoscere alcuni sconti sul prezzo dellopera al cliente (doc. X).</w:t>
      </w:r>
    </w:p>
    <w:p>
      <w:r>
        <w:t>Il rischio economico dellattività era pertanto sopportato esclusivamente dalla ditta chiamata in causa.</w:t>
      </w:r>
    </w:p>
    <w:p>
      <w:r>
        <w:t>I diversi elementi del caso di specie indicano che si è in presenza anche di un rapporto di dipendenza economica.</w:t>
      </w:r>
    </w:p>
    <w:p>
      <w:r>
        <w:t>Nel 2015 e nel 2016 il ricorrente ha conseguito lintero reddito con il lavoro svolto in favore della TERZ 1 (fr.141'147: fr. 61'605 nel 2015 e fr. 79'542 nel 2016).</w:t>
      </w:r>
    </w:p>
    <w:p>
      <w:r>
        <w:t>Da questa circostanza emerge con tutta evidenza la sua subordinazione economica  tipica e parificabile a quella di un lavoratore dipendente  con la società chiamata in causa come pure il fatto che tale attività ha rappresentato la sua primaria ed unica fonte di sostentamento (per un caso simile al presente cfr. la sentenza H 119/04 dell8 agosto 2005, consid. 4.3 che rinvia alla sentenza H 279/00 del 16 dicembre 2002 in cui il Tribunale federale delle assicurazioni ha ugualmente qualificato come dipendente l'attività lavorativa esercitata da un'appaltatrice che, perlomeno per un determinato periodo, aveva lavorato per un'unica committente). Se non vi era lavoro in seno alla società egli non conseguiva alcuna remunerazione (doc. X).</w:t>
      </w:r>
    </w:p>
    <w:p>
      <w:r>
        <w:t>Lattività svolta ha le tipiche caratteristiche di un lavoro su chiamata e dunque di unattività dipendente (cfr. sentenza 30.2017.8+15 del 17 luglio 2017; sentenza30.2013.12 dell'11 dicembre 2013; sentenza 30.2008.37 del 12 dicembre 2008).</w:t>
      </w:r>
    </w:p>
    <w:p>
      <w:r>
        <w:t>Da anni è infatti in corso un mutamento economico e sociale che si riverbera anche nel mondo del lavoro. È ormai un fatto notorio che diverse aziende assumono personale dipendente che viene chiamato nel corso della giornata a seconda delle necessità di lavoro dettate dal volume della clientela (cfr. sentenza 30.2013.12 dell'11 dicembre 2013; sentenza 30.2008.37 del 12 dicembre 2008).</w:t>
      </w:r>
    </w:p>
    <w:p>
      <w:r>
        <w:t>Lunicità della committenza, la dipendenza economica, la subordinazione per quanto concerne lorganizzazione del lavoro, lassenza di qualsiasi investimento e di qualsiasi rischio imprenditoriale, la presenza delle tipiche caratteristiche del lavoro su chiamata, fanno propendere in maniera preponderante ed univoca per lattività dipendente (cfr. sentenza 9C_308/2017 del 17 maggio 2018, consid. 6.4).</w:t>
      </w:r>
    </w:p>
    <w:p>
      <w:r>
        <w:t>I pochi elementi a favore di unattività indipendente, quali la conclusione di alcune assicurazioni (ad esempio lindennità giornaliera contro la perdita di guadagno in caso di malattia ed infortunio) e lassenza di una clausola di divieto di concorrenza, nel senso che linteressato poteva, come ha fatto in particolare nel primo anno (2011), svolgere la propria attività anche per altri committenti, hanno unimportanza nettamente inferiore e non possono sovvertire la decisione della Cassa.</w:t>
      </w:r>
    </w:p>
    <w:p>
      <w:r>
        <w:t>2.8.   Per lart. 9 cpv. 1 OAVS sono spese generali quelle cui il salariato deve far fronte nellambito della propria attività. Le indennità per spese generali non rientrano nel salario determinante. Secondo lart. 9 cpv. 2 OAVS non fanno parte delle spese generali le indennità periodiche per gli spostamenti del salariato dal luogo di domicilio al luogo di lavoro abituale e per i pasti usuali presi a domicilio o sul luogo di lavoro abituale; tali indennità rientrano di norma nel salario determinante.</w:t>
      </w:r>
    </w:p>
    <w:p>
      <w:r>
        <w:t>In una recente sentenza 9C_443/2017 dell11 gennaio 2018, pubblicata in SVR 4/5, AVS Nr. 7 pag. 20, il TF, dopo aver confermato la qualifica di dipendente dellassicurato relativamente ad un reddito derivante da diritti di licenza ed aver rammentato il tenore dellart. 9 OAVS, ha annullato la decisione impugnata e rinviato gli atti alla Cassa di compensazione per un accertamento relativo alle spese generali.LAlta Corte ha affermato:</w:t>
      </w:r>
    </w:p>
    <w:p>
      <w:r>
        <w:t>2.9.   In concreto, nel 2015 linsorgente ha fatturato complessivamente fr. 62'120.10 (doc. da 5 a 5/12). La Cassa ha ripreso fr. 61'605.</w:t>
      </w:r>
    </w:p>
    <w:p>
      <w:r>
        <w:t>Linteressato ha esposto quali spese fr. 135.20 per la benzina fino a __________ (doc. 5/3), fr. 248.80 per la trasferta fino a __________ (doc. 5/4), fr. 255 per spese varie (doc. 5/6), fr. 270 per trasferta e spese per __________ (doc. 5/7), fr. 72 di spese di trasferta a __________ (doc. 5/8), fr. 132.50 spese materiale (doc. 5/9),fr. 28 per trasporti materiali e attrezzi (doc. 5/12), per complessivi fr. 1'141.50.</w:t>
      </w:r>
    </w:p>
    <w:p>
      <w:r>
        <w:t>Nel 2016 il ricorrente ha fatturato fr. 80'461.10 e la Cassa ha ripreso fr. 79'542 a fronte di spese per soli fr. 74.25 (doc. 6/11).</w:t>
      </w:r>
    </w:p>
    <w:p>
      <w:r>
        <w:t>Complessivamente la ripresa ammonta a fr. 141'147 (fr. 61'605 + fr. 79'542), in luogo di fr. 141'365.45 (62'120.10 + 80'461.10  74.25  1'141.50).</w:t>
      </w:r>
    </w:p>
    <w:p>
      <w:r>
        <w:t>Lamministrazione ha complessivamente ripreso un importo leggermente inferiore di fr. 218.45 rispetto a quello che avrebbe potuto riprendere sulla base delle spese esposte.</w:t>
      </w:r>
    </w:p>
    <w:p>
      <w:r>
        <w:t>Tuttavia sulle fatture del 30 gennaio 2015 (doc. 5) e del 3 marzo 2016 (per lavori del febbraio 2015; doc. 5/2) figura lindicazione compreso trasferta, che la Cassa, malgrado lobbligo di accertare la fattispecie dufficio (cfr. art. 43 cpv. 1 LPGA), non ha approfondito.</w:t>
      </w:r>
    </w:p>
    <w:p>
      <w:r>
        <w:t>Di principio, l'amministrazione non può limitarsi a constatare che il contribuente non è riuscito a provare o a rendere verosimile l'esistenza delle spese. Essa deve piuttosto agire d'ufficio, affinché le necessarie prove siano raccolte, in quanto ciò sia possibile senza eccessive difficoltà. Alla luce del principio inquisitorio a cui è tenuta, la Cassa deve provvedere ad entrare in possesso della documentazione probatoria necessaria, se ciò non crea difficoltà eccessive.</w:t>
      </w:r>
    </w:p>
    <w:p>
      <w:r>
        <w:t>In concreto spetta pertanto allamministrazione accertare limporto delle spese indicate nelle citate fatture e, semmai, dedurle dal reddito da dipendente. Il ricorrente è tuttavia tenuto a collaborare e produrre tutti i giustificativi in suo possesso (cfr. art. 43 cpv. 1 LPGA esentenza 9C_443/2017 dell11 gennaio 2018, pubblicata in SVR 4/5, AVS Nr. 7 pag. 20). In caso contrario alcuna ulteriore spesa può essere riconosciuta.</w:t>
      </w:r>
    </w:p>
    <w:p>
      <w:r>
        <w:t>La Cassa rileva inoltre chedue fatture prodotte dal ricorrente in sede fiscale (doc. 6/7 e 6/8), differiscono nel loro contenuto da quelle prodotte in sede ricorsuale (doc. A14 e A15), nella misura in cui a queste ultime sono state aggiunte le indicazioni compreso 252.- fr per spese di trasferta finora (doc. A14), rispettivamente con fr 80.- trasferta (doc. A15).</w:t>
      </w:r>
    </w:p>
    <w:p>
      <w:r>
        <w:t>Lamministrazione deve approfondire anche questo aspetto e, nella misura in cui dovessero emerge sospetti circa il sussistere di un reato, dovrà immediatamente notificare la fattispecie, unitamente allintera documentazione, al Ministero Pubblico.</w:t>
      </w:r>
    </w:p>
    <w:p>
      <w:r>
        <w:t>Ritenuto inoltre che in sede di udienza la TERZ 1 e RI 1 hanno sostenuto che limporto di fr. 44 lordi allora è comprensivo anche delle indennità per inconvenienza riconosciute dal contratto collettivo di lavoro ai dipendenti della società chiamata in causa, la Cassa dovrà anche esaminare approfonditamente, al fine di applicare paritariamente a tutti i lavoratori della TERZ 1 i medesimi parametri, se i dipendenti della società chiamata in causa, sui cantieri dove ha lavorato il ricorrente, hanno beneficiato di un rimborso spese non soggetto a ripresa. A questo scopo la TERZ 1 dovrà fornire allamministrazione tutta la documentazione atta a comprovare quanto da lei sostenuto. Se vi dovessero essere spese riconosciute ad altri dipendenti, lamministrazione dovrà stabilire se vi sono motivi oggettivi per non riconoscerle anche allinsorgente.</w:t>
      </w:r>
    </w:p>
    <w:p>
      <w:r>
        <w:t>Per contro il ricorrente e la TERZ 1 non possono essere seguiti laddove affermano che dallimporto di fr. 44 andrebbero dedotti anche i contributi dovuti quale indipendente e che sarebbero stati compresi nellonorario concordato tra le parti. Infatti il reddito soggetto a contribuzione è al lordo dei contributi sociali e semmai limporto già versato come acconto per i contributi da indipendente per il 2015 e 2016 va imputato sulla parte dei contributi dovuta dal salariato (cfr. sentenza9C_459/2011 del 26 gennaio 2012, consid. 6.3.2).</w:t>
      </w:r>
    </w:p>
    <w:p>
      <w:r>
        <w:t>Alla luce di quanto sopra, il ricorso va parzialmente accolto, la decisione impugnata annullata e lincarto rinviato alla Cassa per lesatta quantificazione delle spese da dedurre, ritenuto che la ripresa non potrà essere superiore a quella ritenuta con la decisione impugnata.</w:t>
      </w:r>
    </w:p>
    <w:p>
      <w:r>
        <w:t>Va quirammentato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