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30.2018.29 vom 12. Dezember 2018</w:t>
      </w:r>
    </w:p>
    <w:p>
      <w:r>
        <w:t>TI Tribunale d'appello, 2018-12-12, IT</w:t>
      </w:r>
    </w:p>
    <w:p>
      <w:r>
        <w:rPr>
          <w:b/>
        </w:rPr>
        <w:t xml:space="preserve">Quelle: </w:t>
      </w:r>
      <w:r>
        <w:t>https://mcp.opencaselaw.ch/entscheid/ti_gerichte_30.2018.29</w:t>
      </w:r>
    </w:p>
    <w:p>
      <w:r>
        <w:t>FR: TI_GERICHTE 30.2018.29 du 12 décembre 2018</w:t>
      </w:r>
    </w:p>
    <w:p>
      <w:r>
        <w:t>IT: TI_GERICHTE 30.2018.29 del 12 dicembre 2018</w:t>
      </w:r>
    </w:p>
    <w:p>
      <w:pPr>
        <w:pStyle w:val="Heading2"/>
      </w:pPr>
      <w:r>
        <w:t>Erwägungen</w:t>
      </w:r>
    </w:p>
    <w:p>
      <w:r>
        <w:rPr>
          <w:b/>
        </w:rPr>
        <w:t>E. 20</w:t>
      </w:r>
    </w:p>
    <w:p>
      <w:r>
        <w:t>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w:t>
      </w:r>
    </w:p>
    <w:p>
      <w:r>
        <w:t>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w:t>
      </w:r>
    </w:p>
    <w:p>
      <w:r>
        <w:t>A torto (cfr. anche sentenza 8C_910/2012 consid. 5 del 3 giugno 2013).</w:t>
      </w:r>
    </w:p>
    <w:p>
      <w:r>
        <w:t>Come rileva giustamente lamministrazione, la sola volontà della beneficiaria delle prestazioni non è determinante per stabilire dove esse vanno versate, il loro diritto non potendo essere ceduto nemmeno con il suo accordo (cfr. art. 22 cpv. 1 LPGA e numero 10027 DR). La rendita AVS e le prestazioni complementari devono essere di principio versate direttamente alla persona assicurata.</w:t>
      </w:r>
    </w:p>
    <w:p>
      <w:r>
        <w:t>Esse potrebbero essere eccezionalmente pagate direttamente alla Residenza RA 1 solo se questultima avesse un obbligo legale o morale di assistenza nei riguardi della ricorrente o se lassistesse permanentemente. Ciò non è il caso (cfr. anche il Bollettino UFAS n° 383 del 10 ottobre 2016; cfr. anche RCC 1973 pag. 173).</w:t>
      </w:r>
    </w:p>
    <w:p>
      <w:r>
        <w:t>Il concetto di assistenza di cui allart. 20 LPGA non va inteso come assistenza medico/sanitaria, bensì come gestione di affari in maniera permanente (cfr. DTF 101 V 17 consid.2; Scartazzini/Hürzeler, Bundessozialversicherungsrecht, 4a edizione 2012, pag. 65: [] Als Drittauszahlungen kommen nur geeignete oder Behörden in Frage, welche der berechtigen Person gegenüber gesetzlich oder sittlich unterstützungspflichtig sind oder diese dauernd fürsorgerisch betreut, sofern die berechtige Person die Geldleistungen nicht für den eigenen Unterhalt von Personen, für die sie zu sorgen hat, verwendet oder dazu nachweisbar nicht im Stande ist  []), nel senso che il terzo non deve per forza assistere lavente diritto da un punto di vista finanziario, essendo sufficiente che lo aiuti a gestire i suoi affari permanentemente (cfr. Moser-Szeless, op. cit., n. 19 ad art. 20, pag. 287; cfr. anche Kieser, ATSG-Kommentar, 3a edizione 2015, n. 25 ad art. 20, pag. 297).</w:t>
      </w:r>
    </w:p>
    <w:p>
      <w:r>
        <w:t>Non vi è alcun dubbio che la Residenza RA 1 non ha alcun obbligo moraledi assistenza per la gestione degli affari ai sensi dellart. 20 LPGA nei confronti della ricorrente.</w:t>
      </w:r>
    </w:p>
    <w:p>
      <w:r>
        <w:t>Neppure vi è un qualsiasi obbligo legale, ossia derivante direttamente dalla legge, di assistenza nella gestione degli affari.</w:t>
      </w:r>
    </w:p>
    <w:p>
      <w:r>
        <w:t>Non è infatti sufficiente a far sorgere un obbligo legale(ex lege) la sottoscrizione della dichiarazione della gestione amministrativa dellutente firmata dalla ricorrente in data 1° gennaio 2009 (doc. A 10), che del resto non menziona alcun accordo circa pagamenti di prestazioni sociali, trattandosi semmai di un contratto tra le parti. È infatti necessaria una base legale, qui non data. Né può essere considerata tale lart. __________ dellOrdinanza Municipale del Comune di __________ __________,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1° gennaio 2009, del relativo formulario (doc. A10). Si tratta infatti di una delega per la gestione amministrativa sottoscritta contrattualmente che non deriva direttamente dalla legge.</w:t>
      </w:r>
    </w:p>
    <w:p>
      <w:r>
        <w:t>Conformemente a quanto sostenuto dallamministrazione, la Residenza RA 1, manifestamente, non rientra di conseguenza tra quegli istituti che hanno un obbligo legale o morale di assistenza nella gestione degli affari nei riguardi della beneficiaria.</w:t>
      </w:r>
    </w:p>
    <w:p>
      <w:r>
        <w:t>La casa anziani non rientra neppure tra gli enti che assistono permanentemente gli ospiti degenti nellistituto nella gestione degli affari ai sensi dellart. 20 LPGA (cfr. il Bollettino UFAS n° 383 del 10 ottobre 2016; cfr. anche RCC 1973 pag. 173).</w:t>
      </w:r>
    </w:p>
    <w:p>
      <w:r>
        <w:t>Lassistenza nel caso di specie non eccede infatti la semplice assistenza quale 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w:t>
      </w:r>
    </w:p>
    <w:p>
      <w:r>
        <w:t>La Residenza RA 1 non ha compiti di assistenza sociale in senso stretto; essa non è incaricata di vegliare sugli interessi relativi alla previdenza sociale dei degenti (cfr. gli scopi della Residenza RA 1: __________: In essa si svolgono attività riconosciute nellambito della Legge concernente il promovimento, il coordinamento ed il sussidiamento delle attività sociali a favore delle persone anziane e prese a carico dallassicurazione obbligatoria delle cure medico-sanitarie;La presa a carico è continuativa (24 ore su 24) e vengono dispensate cure, assistenza medica e/o misure di riabilitazione in maniera costante con un rapporto equilibrato tra persone assistite e personale specializzato; cfr. DTF 101 V 17 consid. 3).</w:t>
      </w:r>
    </w:p>
    <w:p>
      <w:r>
        <w:t>In sintesi, listituto Residenza RA 1 non ha un obbligo legale o morale di assistenza nella gestione degli affari nei riguardi della beneficiaria,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w:t>
      </w:r>
    </w:p>
    <w:p>
      <w:r>
        <w:t>Ne segue che a giusta ragione la Cassa ha stabilito che la rendita AVS e le prestazioni complementari devono essere direttamente versate nelle mani della ricorrente.</w:t>
      </w:r>
    </w:p>
    <w:p>
      <w:r>
        <w:t>Quanto alla censura relativa alle sue asserite difficoltà motorie ed allinvocata violazione dei principi di sussidiarietà e di economicità relativamente alleventuale nomina di un curatore, va evidenziato come linteressata debba semplicemente aprire un conto bancario con il quale, se lo ritiene necessario, può concordare un ordine permanente in favore della Residenza RA 1, ciò che di per sé renderebbe inutile la curatela, essendo ancora in grado di intendere e di volere (cfr. doc. I, pag. 7).</w:t>
      </w:r>
    </w:p>
    <w:p>
      <w:r>
        <w:t>In queste condizioni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