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30.2018.13 vom 10. Oktober 2018</w:t>
      </w:r>
    </w:p>
    <w:p>
      <w:r>
        <w:t>TI Tribunale d'appello, 2018-10-10, IT</w:t>
      </w:r>
    </w:p>
    <w:p>
      <w:r>
        <w:rPr>
          <w:b/>
        </w:rPr>
        <w:t xml:space="preserve">Quelle: </w:t>
      </w:r>
      <w:r>
        <w:t>https://mcp.opencaselaw.ch/entscheid/ti_gerichte_30.2018.13</w:t>
      </w:r>
    </w:p>
    <w:p>
      <w:r>
        <w:t>FR: TI_GERICHTE 30.2018.13 du 10 octobre 2018</w:t>
      </w:r>
    </w:p>
    <w:p>
      <w:r>
        <w:t>IT: TI_GERICHTE 30.2018.13 del 10 ottobre 2018</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w:t>
      </w:r>
    </w:p>
    <w:p>
      <w:r>
        <w:t>2.2.   I contributi sono fissati per ciascun anno di contribuzione. Per anno di contribuzione si intende l'anno civile (art. 22 cpv. 1 OAVS).</w:t>
      </w:r>
    </w:p>
    <w:p>
      <w:r>
        <w:t>Per il calcolo dei contributi sono determinanti il reddito secondo il risultato dellesercizio commerciale chiuso nellanno di contribuzione e il capitale proprio investito nellazienda alla fine dellesercizio commerciale (art. 22 cpv. 2 OAVS).</w:t>
      </w:r>
    </w:p>
    <w:p>
      <w:r>
        <w:t>Se lesercizio commerciale non corrisponde allanno di contribuzione, il reddito non è ripartito sugli anni di contribuzione. È fatto salvo il capoverso 4 (art. 22 cpv. 3 OAVS).</w:t>
      </w:r>
    </w:p>
    <w:p>
      <w:r>
        <w:t>Se in un anno di contribuzione non si è proceduto alla chiusura dei conti, il reddito dellesercizio commerciale va ripartito sugli anni di contribuzione conformemente alla sua durata (art. 22 cpv. 4 OAVS).</w:t>
      </w:r>
    </w:p>
    <w:p>
      <w:r>
        <w:t>Il reddito non è convertito in reddito annuo (art. 22 cpv. 5 OAVS).</w:t>
      </w:r>
    </w:p>
    <w:p>
      <w:r>
        <w:t>2.3.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w:t>
      </w:r>
    </w:p>
    <w:p>
      <w:r>
        <w:t>In difetto di una tassazione dell'imposta federale diretta passata in giudicato, gli elementi fiscali determinanti sono desunti dalla tassazione dell'imposta cantonale sul reddito e, in mancanza di essa, dalla dichiarazione controllata d'imposta federale diretta (art. 23 cpv. 2 OAVS).</w:t>
      </w:r>
    </w:p>
    <w:p>
      <w:r>
        <w:t>Nei casi di procedura per sottrazione dimposta, i capoversi 1 e 2 sono applicabili per analogia (art. 23 cpv. 3 OAVS).</w:t>
      </w:r>
    </w:p>
    <w:p>
      <w:r>
        <w:t>Le indicazioni fornite dalle autorità fiscali sono vincolanti per le casse di compensazione (art. 23 cpv. 4 OAVS).</w:t>
      </w:r>
    </w:p>
    <w:p>
      <w:r>
        <w:t>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w:t>
      </w:r>
    </w:p>
    <w:p>
      <w:r>
        <w:t>2.4.   Va ancora rammentato che ai sensi dell'art. 9 cpv. 2 LAVS, il reddito netto proveniente da un'attività lucrativa indipendente è stabilito deducendo dal reddito lordo:</w:t>
      </w:r>
    </w:p>
    <w:p>
      <w:r>
        <w:t>a.   le spese generali necessarie per conseguire il reddito lordo;</w:t>
      </w:r>
    </w:p>
    <w:p>
      <w:r>
        <w:t>b.gli ammortamenti e le riserve di aziende commerciali consentiti dall'uso commerciale e corrispondenti alle svalutazioni subite;</w:t>
      </w:r>
    </w:p>
    <w:p>
      <w:r>
        <w:t>c.   le perdite commerciali subite e allibrate;</w:t>
      </w:r>
    </w:p>
    <w:p>
      <w:r>
        <w:t>d.le elargizioni fatte dal titolare dell'azienda, nel periodo di computo, a istituzioni previdenziali a favore del proprio personale, purché sia escluso che possano servire ad altro uso, nonché le elargizioni fatte esclusivamente a scopo di utilità pubblica;</w:t>
      </w:r>
    </w:p>
    <w:p>
      <w:r>
        <w:t>e.i versamenti personali fatti a istituzioni di previdenza, per quanto equivalgano alla quota generalmente assunta dal datore di lavoro;</w:t>
      </w:r>
    </w:p>
    <w:p>
      <w:r>
        <w:t>f.l'interesse del capitale proprio impegnato nell'azienda; il tasso d'interesse corrisponde al rendimento medio annuo dei prestiti in franchi svizzeri dei debitori svizzeri che non sono enti pubblici.</w:t>
      </w:r>
    </w:p>
    <w:p>
      <w:r>
        <w:t>Il Consiglio federale può accordare, alloccorrenza, altre deduzioni dal reddito lordo proveniente dallattività lucrativa indipendente.</w:t>
      </w:r>
    </w:p>
    <w:p>
      <w:r>
        <w:t>Ai sensi dellart. 9 cpv. 3 LAVS il reddito proveniente da unattività lucrativa indipendente e il capitale proprio impegnato nellazienda sono accertati dalle autorità fiscali cantonali e comunicati alle casse di compensazione.</w:t>
      </w:r>
    </w:p>
    <w:p>
      <w:r>
        <w:t>Per lart. 9 cpv. 4 LAVS, nel tenore in vigore dal 1° gennaio 2012, le casse di compensazione aggiungono al reddito comunicato dalle autorità fiscali le deduzioni ammissibili secondo il diritto fiscale dei contributi di cui allart.</w:t>
      </w:r>
    </w:p>
    <w:p>
      <w:r>
        <w:rPr>
          <w:b/>
        </w:rPr>
        <w:t>E. 8</w:t>
      </w:r>
    </w:p>
    <w:p>
      <w:r>
        <w:t>LAVS, allart. 3 cpv. 1 LAI e allart. 27 cpv. 2 LIPG. A tal fine il reddito comunicato è calcolato al 100 per cento in base ai tassi di contribuzione applicabili.</w:t>
      </w:r>
    </w:p>
    <w:p>
      <w:r>
        <w:t>2.5.   Per giurisprudenza costante del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w:t>
      </w:r>
    </w:p>
    <w:p>
      <w:r>
        <w:t>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(sentenza 9C_441/2015 del 19 febbraio 2016 parzialmente pubblicata in SVR 2016, AVS Nr. 4 pag. 11; DTF 134 V 250, consid. 3). Di principio le casse di compensazione devono fidarsi delle comunicazioni delle autorità fiscali per la qualifica del reddito e devono effettuare accertamenti laddove esistono seri dubbi quanto alla loro esattezza (DTF 134 V 250 consid. 3.3 e riferimenti).</w:t>
      </w:r>
    </w:p>
    <w:p>
      <w:r>
        <w:t>L'assicurato esercitante un'attività indipendente deve anzitutto difendere i suoi diritti nel procedimento fiscale anche per quanto concerne i contributi delle assicurazioni sociali (sentenza 9C_441/2015 del 19 febbraio 2016 parzialmente pubblicata in SVR 2016, AVS Nr. 4 pag. 11; Pratique VSI 1997 pag. 26 consid.2b, 1993 pag. 232 consid. 4b, RCC 1992 pag. 35, RCC 1988 pag. 321 consid. 3, DTF 110 V 86 consid. 4 = RCC 1985 pag. 45 consid. 4, DTF 110 V 371 consid. 2a = RCC 1985 pag. 121 consid. 2a, DTF 106 V 130 consid. 1, DTF 102 V 30 consid. 3a = RCC 1976 pag. 275 consid.3a). Il Tribunale federale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w:t>
      </w:r>
    </w:p>
    <w:p>
      <w:r>
        <w:t>Le comunicazioni fiscali sono vincolanti per la Cassa, anche se fondate su una tassazione d'ufficio (RCC 1988 pag. 321 consid.3;Käser, Unterstellung und Beitragswesen in der obligatorischen AHV, 2a edizione, Zurigo 1996, N. 8.32, pag. 212;Greber/Duc/Scartazzini, Commentaire des articles 1 à 16 de la loi fédérale sur l'assurance-vieillesse et survivants (LAVS), ad art. 9 LAVS, N. 151 pag. 312).</w:t>
      </w:r>
    </w:p>
    <w:p>
      <w:r>
        <w:t>2.6.   Va ancora rilevato che a norma dell'art. 17 OAVS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l'articolo 18 capoverso 2 LIFD e gli utili conseguiti con l'alienazione di fondi agricoli e silvicoli giusta l'articolo 18 capoverso 4 LIFD, eccetto i redditi da partecipazioni dichiarati quali sostanza commerciale giusta l'articolo 18 capoverso 2 LIFD.</w:t>
      </w:r>
    </w:p>
    <w:p>
      <w:r>
        <w:t>Secondo l'art. 18 cpv. 1 LIFD sono imponibili tutti i proventi dall'esercizio di un'impresa commerciale, industriale, artigianale, agricola o forestale, da una libera professione e da ogni altra attività lucrativa indipendente.</w:t>
      </w:r>
    </w:p>
    <w:p>
      <w:r>
        <w:t>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w:t>
      </w:r>
    </w:p>
    <w:p>
      <w:r>
        <w:t>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limita a esplicitare quanto vigeva già in precedenza; da parte loro, gli articoli da 17 a 23 LIFD si limitano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w:t>
      </w:r>
    </w:p>
    <w:p>
      <w:r>
        <w:t>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t>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del 25 marzo 2004 nella 2A.37/2004).</w:t>
      </w:r>
    </w:p>
    <w:p>
      <w:r>
        <w:t>Per stabilire se si è o no in presenza di un commercio professionale d'immobili, si deve tenere conto dell'insieme delle circostanze del caso concreto (cfr.DTF 125 II 113consid. 3c e 6a).</w:t>
      </w:r>
    </w:p>
    <w:p>
      <w:r>
        <w:t>Cfr. anche la sentenza 9C_162/2014 del 31 luglio 2014.</w:t>
      </w:r>
    </w:p>
    <w:p>
      <w:r>
        <w:t>Il ricorrente ha censurato le valutazioni del fisco, affermando:</w:t>
      </w:r>
    </w:p>
    <w:p>
      <w:r>
        <w:t>Alla luce degli atti prodotti dalle parti ed acquisiti da questo Tribunale, nonché delle risposte fornite dallUT, la qualifica di commerciante professionale di immobili va confermata.</w:t>
      </w:r>
    </w:p>
    <w:p>
      <w:r>
        <w:t>Il 20 marzo 2009 il ricorrente e la società semplice formata da __________ (architetto) e __________ (disegnatore edile; cfr. sentenza della Pretura di __________ del 10 marzo 2017) hanno sottoscritto una convenzione in relazione allacquisto del part. no. __________ di __________ in comproprietà (sottolineatura del redattore). Il prezzo di acquisto è stato ripartito nella misura di fr. 420'000 a carico dellinsorgente e di fr. 330'000 della società semplice ed è stato convenuto che sarebbe stata costituita una PPP ripartita come segue: attico di proprietà del ricorrente con quota 508/1000 e 2 appartamenti sottostanti (poi divenuto uno solo [cfr. doc. XIII]) di proprietà della società semplice con quota di 232/1000 e 260/1000. Gli utili derivanti dalla vendita dei due appartamenti (poi divenuto uno solo [cfr. doc. XIII]) intestati alla società semplice sarebbero stati ripartiti nella misura di 1/3 a favore del ricorrente e 2/3 della società semplice (cfr. incarto fiscale). Uguale riparto sarebbe stato riconosciuto anche qualora gli appartamenti non fossero stati venduti ma affittati.</w:t>
      </w:r>
    </w:p>
    <w:p>
      <w:r>
        <w:t>Il 22 aprile 2009 è stata iscritta a registro fondiario la compravendita della particella __________ RFD __________ da __________ a __________ per ½ e alla società semplice di __________ e __________ per ½ (doc. B1). Il 9 agosto 2010 è stata iscritta la costituzione di una PPP, con la medesima ripartizione (doc. B1).</w:t>
      </w:r>
    </w:p>
    <w:p>
      <w:r>
        <w:t>Il 13 aprile 2012 un appartamento della PPP è stata venduto a __________ (doc. XIII).</w:t>
      </w:r>
    </w:p>
    <w:p>
      <w:r>
        <w:t>Linvestimento delloperazione ammonta a fr. 3'450'000, finanziato sia tramite debiti bancari, sia con anticipi versati dallacquirente negli anni 2010 e 2011, e meglio fr. 2'152'413 (doc. XIII).</w:t>
      </w:r>
    </w:p>
    <w:p>
      <w:r>
        <w:t>Da rilevare pure che in seguito alla petizione inoltrata dalla __________ innanzi alla Pretura di __________ il ricorrente, __________ e __________ sono stati condannati a pagare un importo di fr. 92'416.70 oltre interessi. Dalla sentenza del 10 marzo 2017 emerge che i convenuti sono stati tutti promotori immobiliari della __________, edificio plurifamiliare realizzato sul fondo part. n. __________ RFD del Comune di __________ (pag. 2, secondo paragrafo). Della progettazione e della direzione lavori si è occupata la __________ e linsorgente e la società semplice hanno sottoscritto un contratto dappalto del 24 agosto 2010/3 settembre 2010 con la __________, ditta attiva nel campo della metalcostruzione, commissionandole la fornitura di serramenti (pag. 2, quarto paragrafo).</w:t>
      </w:r>
    </w:p>
    <w:p>
      <w:r>
        <w:t>Dalla documentazione prodotta il 25 settembre 2018 si evince ancora che linsorgente, unitamente a __________ e __________, il 20 dicembre 2012 ha sottoscritto, con una banca, una convenzione relativa ad una cessione fiduciaria in proprietà di cartelle ipotecarie a titolo di garanzia ed un contratto per un credito di costruzione per un importo di fr. 900'000.</w:t>
      </w:r>
    </w:p>
    <w:p>
      <w:r>
        <w:t>Conformemente a quanto giudicato dal TF nella sentenza2A.37/2004 del 25 marzo 2004 anche nel caso di specielinsieme delle circostanze sopra descritte porta inequivocabilmente a concludere che linsorgente non si è limitato ad amministrare il proprio patrimonio o ad approfittare di unopportunità risultante da circostanze fortuite, ma ha sfruttato il mercato immobiliare alla stregua di un commerciante professionale, nellintento di realizzare un profitto.</w:t>
      </w:r>
    </w:p>
    <w:p>
      <w:r>
        <w:t>Lo dimostrano in maniera convergente gli elementi descritti dallUT nel suo scritto del 12 settembre 2018 (doc. XIII) e gli atti dellincarto: la partecipazione ad unoperazione immobiliare collettiva con la costituzione di una comproprietà insieme ad una società semplice costituita da un architetto ed un disegnatore edile con la firma di una convenzione che prevedeva la suddivisione dellutile nella misura di 1/3 al ricorrente e 2/3 a favore della società semplice, il genere di imprenditori coinvolti (un architetto ed un disegnatore edile), il massiccio apporto di capitali di terzi (cfr. doc. XIII: fr. 2'152'413), la costituzione di una PPP per la successiva vendita di un appartamento, la breve durata del possesso dellappartamento venduto a __________ (cfr. sentenza2A.37/2004 del 25 marzo 2004).</w:t>
      </w:r>
    </w:p>
    <w:p>
      <w:r>
        <w:t>Tutti questi indizi non possono essere sovvertiti dal carattere unico e isolato delloperazione immobiliare e dalla circostanza che nellambito della medesima operazione è stato costruito anche lappartamento destinato alla sua abitazione primaria.</w:t>
      </w:r>
    </w:p>
    <w:p>
      <w:r>
        <w:t>Inoltre, va ribadito che in sede di tassazione fiscale linsorgente non ha mai contestato la qualifica di commerciante professionale di immobili, rispettivamente di reddito da attività indipendente accessoria. Ciò né nellambito del reclamo contro la decisione di tassazione del 28 gennaio 2015, né nellambito della procedura di richiesta di revisione della decisione su reclamo del 1° aprile 2015, sfociata nella sentenza 80.2018.36 del 18 giugno 2018.</w:t>
      </w:r>
    </w:p>
    <w:p>
      <w:r>
        <w:t>Ora,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Per l'art. 41bis cpv. 1 lett. b OAVS devono segnatamente pagare gli interessi di mora le persone tenute a pagare i contributi, sui contributi reclamati per gli anni civili passati, a partire dal 1° gennaio dopo il termine dellanno civile per il quale i contributi sono dovuti (cfr., per quanto concerne gli indipendenti e lart. 41bis cpv. 1 lett. f OAVS, laDTF 134 V 405, consid. 4.2).</w:t>
      </w:r>
    </w:p>
    <w:p>
      <w:r>
        <w:t>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w:t>
      </w:r>
    </w:p>
    <w:p>
      <w:r>
        <w:t>In virtù dell'art. 42 cpv. 1 OAVS, i contributi sono considerati pagati con la ricezione del pagamento da parte della Cassa di compensazione. Il tasso per gli interessi di mora e per gli interessi compensativi è del 5% all'anno (art. 42 cpv. 2 OAVS).</w:t>
      </w:r>
    </w:p>
    <w:p>
      <w:r>
        <w:t>Gli interessi sono calcolati in giorni. I mesi interi sono calcolati come 30 giorni (art. 42 cpv. 3 OAVS; sentenza H 148/03 del 10 novembre 2003).</w:t>
      </w:r>
    </w:p>
    <w:p>
      <w:r>
        <w:t>2.11.   Nel caso in esame, la Cassa di compensazione ha chiesto al ricorrente il versamento di interessi di mora basandosi sull'art. 41bis cpv. 1 lett. b OAVS (cfr. doc. 1, punto 3).</w:t>
      </w:r>
    </w:p>
    <w:p>
      <w:r>
        <w:t>Per quanto concerne gli interessi,l'art. 26 cpv. 1 LPGA prevede che i crediti di contributi dovuti o di contributi indebitamente riscossi sottostanno rispettivamente a interessi di mora o rimunerativi.</w:t>
      </w:r>
    </w:p>
    <w:p>
      <w:r>
        <w:t>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w:t>
      </w:r>
    </w:p>
    <w:p>
      <w:r>
        <w:t>In virtù dell'art. 42 cpv. 1 OAVS, i contributi sono considerati pagati con la ricezione del pagamento da parte della Cassa di compensazione. Il tasso per gli interessi di mora e per gli interessi compensativi è del 5% all'anno (art. 42 cpv. 2 OAVS).</w:t>
      </w:r>
    </w:p>
    <w:p>
      <w:r>
        <w:t>Gli interessi sono calcolati in giorni. I mesi interi sono calcolati come 30 giorni (art. 42 cpv. 3 OAVS; sentenza H 148/03 del 10 novembre 2003).</w:t>
      </w:r>
    </w:p>
    <w:p>
      <w:r>
        <w:t>2.12.   Nel caso in esame, la Cassa di compensazione ha chiesto al ricorrente il versamento di interessi di mora basandosi sull'art. 41bis (cfr. doc. 12) cpv. 1 lett. b OAVS e calcolandoli sulla base di 1730 giorni di ritardo (dal 1° gennaio 2013 [1° gennaio dopo il termine dell'anno civile seguente l'anno di contribuzione]al 20 ottobre 2017 [giorno della fatturazione]).</w:t>
      </w:r>
    </w:p>
    <w:p>
      <w:r>
        <w:t>Pronunciandosi nellambito di fattispecie ticinesiconcernenti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cheil ricorrente non poteva validamente liberarsi dal suo obbligo di pagamento tentando di invocare l'irreprensibilità del suo agire e addebitando all'amministrazione un comportamento negligente.</w:t>
      </w:r>
    </w:p>
    <w:p>
      <w:r>
        <w:t>L'Alta Corte ha infatti precisato che l'interesse moratorio non ha carattere penale e matura indipendentemente da ogni colpa. Perl'obbligo di prestare interessi di mora in ambito contributivo non è pertanto decisivo se il ritardo nella fissazione o nel pagamento dei contributi sia imputabile alcontribuenteoppure allaCassa di compensazione(DTF 134 V 405 consid. 7.1;DTF 134 V 202consid. 3.3.1; sentenza H 221/90 del 24 gennaio 1992 = ZAK 1992 pag. 167 seg. consid. 4b). Dal momento che l'obbligo di versamento degli interessi moratori è indipendente dall'esistenza o meno di una colpa, esso si giustificherebbe anche qualora laCassa(o l'autorità fiscale) dovesse avere - per ipotesi - trascinato in maniera dilatoria la fissazione definitiva dei contributi(DTF 134 V 405 consid. 7.1; DTF 134 V 202 consid. 3.3.2; sentenza H 157/04 del 14 dicembre 2004, consid. 3.4.2).Il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w:t>
      </w:r>
    </w:p>
    <w:p>
      <w:r>
        <w:t>L'interesse di mora e l'interesse compensativo hanno infatti per funzione di compensare il fatto che in caso di pagamento tardivo il debitore può trarre un beneficio d'interesse, mentre il creditore subisce uno svantaggio (DTF 134 V 405 consid. 5.3; STF9C_709/2007del 26 settembre 2008consid.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w:t>
      </w:r>
    </w:p>
    <w:p>
      <w:r>
        <w:t>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(DTF 134 V 405 consid. 7.2;VSI 2000 pag. 119).</w:t>
      </w:r>
    </w:p>
    <w:p>
      <w:r>
        <w:t>Questi concetti sono stati ribaditi nella DTF 139 V 297, secondo cui gli interessi di mora sono dovuti indipendentemente da colpa (consid. 3.3.2.2).</w:t>
      </w:r>
    </w:p>
    <w:p>
      <w:r>
        <w:t>2.13.   Nell'evenienza concreta spettava pertanto allinsorgente dar seguito ai suoi obblighi notificando immediatamente alla Cassa di compensazione il reddito da commerciante professionale dimmobili conseguito nellanno in esame, dopo la realizzazione di tale reddito.</w:t>
      </w:r>
    </w:p>
    <w:p>
      <w:r>
        <w:t>A questo proposito va evidenziato che con sentenza9C_709/2007del 26 settembre 2008il Tribunale federale ha chiarito che anche se una notifica di tassazione è disponibile, la Cassa non è tenuta ad attivarsi per ottenerla:</w:t>
      </w:r>
    </w:p>
    <w:p>
      <w:r>
        <w:t>4.2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w:t>
      </w:r>
    </w:p>
    <w:p>
      <w:r>
        <w:t>2.14.   Anche il tasso del 5% applicato in virtù dellart. 42 cpv. 2 OAVS va confermato. Il TF ha più volte stabilito che esso è conforme alla legge e non vi si può derogare (cfr. sentenza 9C_531/2015 del 22 marzo 2016, pubblicata in SVR 8/9 2016, AHV Nr. 9, pag. 25 e seguenti), poiché si tratta di un interesse tecnico (cfr. DTF 139 V 297 consid. 3.3.2.2) che non è da mettere in relazione con i tassi dinteresse dei mercati finanziari (sentenza 9C_531/2015 del 22 marzo 2016, pubblicata in SVR 8/9 2016, AHV Nr. 9, pag. 25 e seguenti).</w:t>
      </w:r>
    </w:p>
    <w:p>
      <w:r>
        <w:t>2.15.   Quali prove lassicurato chiede il sopralluogo e la sua audizione (doc. VIII).</w:t>
      </w:r>
    </w:p>
    <w:p>
      <w:r>
        <w:t>Il TCA ha esperito alcuni accertamenti. Ha segnatamente acquisito la sentenzadel 18 giugno 2018 della Camera di diritto tributario in merito alla sua richiesta di revisione della notifica di tassazione 2012 ed ha interpellato lUT competente, il quale ha prodotto lincarto fiscale dellinsorgente, per stabilire sulla base di quali criteri il ricorrente è stato qualificato quale commerciante professionale dimmobili. Lassicurato ha potuto esprimersi in merito.</w:t>
      </w:r>
    </w:p>
    <w:p>
      <w:r>
        <w:t>Alla luce degli elementi acquisiti pendente causa un sopralluogo si rileva superfluo.</w:t>
      </w:r>
    </w:p>
    <w:p>
      <w:r>
        <w:t>Questo Tribunale, ritenuto che, in seguito agli accertamenti eseguiti, i fatti sono stati comprovati e nessun provvedimento probatorio supplementare potrebbe modificare tale apprezzamento, rinuncia allassunzione di ulteriori prove (sentenza 9C_394/2016 del 21 novembre 2016,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