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30.2018.12 vom 12. Oktober 2018</w:t>
      </w:r>
    </w:p>
    <w:p>
      <w:r>
        <w:t>TI Tribunale d'appello, 2018-10-12, IT</w:t>
      </w:r>
    </w:p>
    <w:p>
      <w:r>
        <w:rPr>
          <w:b/>
        </w:rPr>
        <w:t xml:space="preserve">Quelle: </w:t>
      </w:r>
      <w:r>
        <w:t>https://mcp.opencaselaw.ch/entscheid/ti_gerichte_30.2018.12</w:t>
      </w:r>
    </w:p>
    <w:p>
      <w:r>
        <w:t>FR: TI_GERICHTE 30.2018.12 du 12 octobre 2018</w:t>
      </w:r>
    </w:p>
    <w:p>
      <w:r>
        <w:t>IT: TI_GERICHTE 30.2018.12 del 12 ottobre 2018</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(sentenza 9C_308/2017 del 17 maggio 2018, consid. 4.2 e 6.1, destinata a pubblicazione; sentenza 9C_538/2017 del 12 aprile 2018, consid. 4.2; sentenza H 322/03 dell'11 marzo 2005; sentenza H 31/04 del 21 marzo 2005).</w:t>
      </w:r>
    </w:p>
    <w:p>
      <w:r>
        <w:t>In particolare, insolite costruzioni di diritto civile che devono servire a motivare un certo statuto di contribuzione qui non hanno alcun valore (sentenza 9C_308/2017 del 17 maggio 2018 destinata a pubblicazione).</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9C_308/2017 del 17 maggio 2018 destinata a pubblicazione,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sentenza 9C_213/2016 del 17 ottobre 2016, consid. 3.2 con riferimenti).</w:t>
      </w:r>
    </w:p>
    <w:p>
      <w:r>
        <w:t>A questo proposito il TF ha recentemente rammentato che il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sentenza 9C_527/2017 del 26 gennaio 2018, consid. 4.1).</w:t>
      </w:r>
    </w:p>
    <w:p>
      <w:r>
        <w:t>Da questa circostanza emerge con tutta evidenza la sua subordinazione economica  tipica e parificabile a quella di un lavoratore dipendente  con la società chiamata in causa come pure il fatto che tale attività rappresenta la sua primaria ed unica fonte di sostentamento dal punto di vista lavorativo (cfr. la sentenza H 119/04 dell8 agosto 2005, consid. 4.3 che rinvia alla sentenza H 279/00 del 16 dicembre 2002 in cui il Tribunale federale delle assicurazioni ha ugualmente qualificato come dipendente l'attività lavorativa esercitata da un'appaltatrice che, perlomeno per un determinato periodo, aveva lavorato per un'unica committente).</w:t>
      </w:r>
    </w:p>
    <w:p>
      <w:r>
        <w:t>Infine, la circostanza, comunque non provata neppure secondo il principio della verosimiglianza preponderante valido nelle assicurazioni sociali, che vi sarebbero numerosi indipendenti attivi in Ticino senza avere personale alle proprie dipendenze, non è un motivo per decidere diversamente. Innanzitutto occorre differenziare in base al tipo di attività svolta. La necessità di personale alle proprie dipendenze è infatti di principio una caratteristica necessaria laddove occorre qualificare il tipo di attività svolta dai rappresentanti di commercio, compresi gli agenti (marg. 4024 e 4025 DSD; DTF 119 V 161, consid. 3b; sentenza 9C_407/2016 del 23 novembre 2016, consid. 2.2; sentenza 9C_675/2015 del 31 maggio 2016, consid. 3.2; sentenza 9C_618/2015 del 22 gennaio 2016, consid. 2.2; sentenza 9C_946/2009 del 30 settembre 2010, consid. 2.2; Pratique VSI 1995 pag. 27; Pratique VSI 1993 pag. 228 consid. 3b; RCC 1988 pag. 399 consid. 2b, RCC 1986 pag. 127 consid. 2b e 604 consid. 2b, RCC 1982 pag. 209 consid. 4b, RCC 1980 pag. 112 consid. 2, RCC 1967 pag. 429). Altre attività non necessitano forzatamente la presenza di salariati per qualificare la professione di indipendente.</w:t>
      </w:r>
    </w:p>
    <w:p>
      <w:r>
        <w:t>In secondo luogo va rilevato che non può esserci uguaglianza di trattamento qualora vi sia un'applicazione illegale di norme giuridiche.</w:t>
      </w:r>
    </w:p>
    <w:p>
      <w:r>
        <w:t>In proposito si osserva che in una sentenza del 16 maggio 2008, 8C_48/2008 (cfr. anche sentenza del 4 giugno 2003, K 31/03), al consid.5 lAlta Corte ha nuovamente ribadito la propria costante giurisprudenza:</w:t>
      </w:r>
    </w:p>
    <w:p>
      <w:r>
        <w:t>In concreto, dalla decisione impugnata e dallo scritto allegato dalla TERZ 2 del 27 ottobre 2009 (doc. 2a), emerge semmai la volontà di trattare tutti gli assicurati allo stesso modo e dunque entrambe le Casse hanno chiaramente manifestato lintenzione di non voler seguire unaltra prassi, non conforme alla legislazione federale.</w:t>
      </w:r>
    </w:p>
    <w:p>
      <w:r>
        <w:t>Stanti così le cose, ritenuto che gli elementi a favore di unattività dipendente, nel preciso caso di specie sono predominanti rispetto a quelli in favore dellattività indipendente, la decisione su opposizione va confermata.</w:t>
      </w:r>
    </w:p>
    <w:p>
      <w:r>
        <w:rPr>
          <w:b/>
        </w:rPr>
        <w:t>E. 5</w:t>
      </w:r>
    </w:p>
    <w:p>
      <w:r>
        <w:t>l’Alta Corte ha nuovamente ribadito la propria costante giurisprudenza: " (…)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 In concreto, dalla decisione impugnata e dallo scritto allegato dalla TERZ 2 del 27 ottobre 2009 (doc. 2a), emerge semmai la volontà di trattare tutti gli assicurati allo stesso modo e dunque entrambe le Casse hanno chiaramente manifestato l’intenzione di non voler seguire un’altra prassi, non conforme alla legislazione federale. In conclusione per l’attività dell’insorgente gli elementi a favore dell’attività dipendente sono nettamente predominanti rispetto a quelli a favore di un’attività indipendente: egli non dispone di una vera e propria organizzazione di vendita (non ha personale alle sue dipendenze) e non ha pertanto alcuno specifico rischio imprenditoriale, si trova in un rapporto di subordinazione organizzativo (segue le direttive della società) ed economico (lavora unicamente per la società chiamata in causa) e non sopporta alcun rischio d’incasso e delcredere. In favore dell’attività indipendente vi è unicamente la circostanza secondo cui afferma di lavorare in locali propri, di assumersi le spese e di disporre di una certa latitudine per quanto concerne l’orario lavorativo, che tuttavia caratterizza l’attività svolta e non è decisiva nell’ambito della valutazione globale del caso di specie (cfr . sentenza 9C_407/2016 del 23 novembre 2016; sentenza H 208/04 del 15 aprile 2005). Stanti così le cose, ritenuto che gli elementi a favore di un’attività dipendente, nel preciso caso di specie sono predominanti rispetto a quelli in favore dell’attività indipendente, la decisione su opposizione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