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30.2017.46 vom 20. Juni 2017</w:t>
      </w:r>
    </w:p>
    <w:p>
      <w:r>
        <w:t>TI Tribunale d'appello, 2017-06-20, IT</w:t>
      </w:r>
    </w:p>
    <w:p>
      <w:r>
        <w:rPr>
          <w:b/>
        </w:rPr>
        <w:t xml:space="preserve">Quelle: </w:t>
      </w:r>
      <w:r>
        <w:t>https://mcp.opencaselaw.ch/entscheid/ti_gerichte_30.2017.46_d20170620</w:t>
      </w:r>
    </w:p>
    <w:p>
      <w:r>
        <w:t>FR: TI_GERICHTE 30.2017.46 du 20 juin 2017</w:t>
      </w:r>
    </w:p>
    <w:p>
      <w:r>
        <w:t>IT: TI_GERICHTE 30.2017.46 del 20 giugno 2017</w:t>
      </w:r>
    </w:p>
    <w:p>
      <w:pPr>
        <w:pStyle w:val="Heading2"/>
      </w:pPr>
      <w:r>
        <w:t>Regeste</w:t>
      </w:r>
    </w:p>
    <w:p>
      <w:r>
        <w:t>Conferma del calcolo dei contributi e degli interessi di mora dovuti sul reddito conseguito quale commerciante professionale d'immobili</w:t>
      </w:r>
    </w:p>
    <w:p>
      <w:pPr>
        <w:pStyle w:val="Heading2"/>
      </w:pPr>
      <w:r>
        <w:t>Erwägungen</w:t>
      </w:r>
    </w:p>
    <w:p>
      <w:r>
        <w:rPr>
          <w:b/>
        </w:rPr>
        <w:t>E. 2</w:t>
      </w:r>
    </w:p>
    <w:p>
      <w:r>
        <w:t>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dall’attività lucrativa indipendente. Ai sensi dell’art. 9 cpv.</w:t>
      </w:r>
    </w:p>
    <w:p>
      <w:r>
        <w:rPr>
          <w:b/>
        </w:rPr>
        <w:t>E. 2.13</w:t>
      </w:r>
    </w:p>
    <w:p>
      <w:r>
        <w:t>Alla luce di tutto quanto sopra esposto il ricorso va respinto, mentre la decisione impugnata merita conferma.</w:t>
      </w:r>
    </w:p>
    <w:p>
      <w:r>
        <w:rPr>
          <w:b/>
        </w:rPr>
        <w:t>E. 3</w:t>
      </w:r>
    </w:p>
    <w:p>
      <w:r>
        <w:t>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 8 LAVS, all’art. 3 cpv. 1 LAI e all’art. 27 cpv. 2 LIPG. A tal fine il reddito comunicato è calcolato al 100 per cento in base ai tassi di contribuzione applicabili. 2.5.   Per giurisprudenza costante del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(sentenza 9C_441/2015 del 19 febbraio 2016 parzialmente pubblicata in SVR AVS Nr. 4 pag. 11; DTF 134 V 250, consid. 3). L'assicurato esercitante un'attività indipendente deve anzitutto difendere i suoi diritti nel procedimento fiscale anche per quanto concerne i contributi delle assicurazioni sociali (sentenza 9C_441/2015 del 19 febbraio 2016 parzialmente pubblicata in SVR AVS Nr. 4 pag. 11;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2.6.   Va ancora rilevato che a norma dell'art. 17 OAVS sono considerati reddito proveniente da un'attività lucrativa indipendente ai sensi dell'articolo 9 capoverso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l'articolo 18 capoverso 2 LIFD e gli utili conseguiti con l'alienazione di fondi agricoli e silvicoli giusta l'articolo 18 capoverso 4 LIFD, eccetto i redditi da partecipazioni dichiarati quali sostanza commerciale giusta l'articolo 18 capoverso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limita a esplicitare quanto vigeva già in precedenza; da parte loro, gli articoli da 17 a 23 LIFD si limitano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(STF del 25 marzo 2004 nella 2A.37/2004). Per stabilire se si è o no in presenza di un commercio professionale d'immobili, si deve tenere conto dell'insieme delle circostanze del caso concreto (cfr. DTF 125 II 113 consid. 3c e 6a). 2.7.   Nel caso di specie l’assicurato, correttamente, non contesta la qualifica di commerciante professionale d’immobili, ma sostiene che i contributi non debbano essere calcolati sulla base del reddito da attività indipendente evinto dalla tassazione fiscale personale su reclamo del 2013, cresciuta in giudicato, bensì dall’utile della sua ditta individuale __________. A questo proposito, nelle corrispondenze con l’amministrazione, in sede di opposizione, aveva chiesto alla Cassa “ un po’ di tempo ” per “ presentare il bilancio e correggere l’importo ” (cfr. doc. 11; cfr. anche doc. 4 e 12). Egli tuttavia non ha mai prodotto alcunché. Da parte sua la Cassa ha interpellato l’ufficio di tassazione, il quale ha rilevato che l’insorgente ha conseguito un reddito lordo da attività indipendente di fr. 1’487'651, corrispondente ad un reddito netto di fr. 1'335'000 (cfr. doc. 6a) ed ha confermato che la tassazione su reclamo rettificata è nel frattempo cresciuta in giudicato. I dati comunicati alla Cassa, sono confermati dalla documentazione acquisita dal fisco pendente causa da questo Tribunale e relativa all’imposta federale diretta (doc. VI+ 1/3). Del resto l’insorgente non contesta tali importi, ma sostiene che occorrerebbe prendere in considerazione l’utile della ditta individuale, ritenuto che conformemente all’art. 957 CO, se supera la cifra d’affari di fr. 500’000 deve produrre i conti annuali firmati. A torto. In primo luogo va ribadito che le indicazioni fornite dalle autorità fiscali sono vincolanti per le casse di compensazione (art. 23 cpv. 4 OAVS). Ora, ritenuto che l’interessato ha conseguito, nel 2013, un reddito da attività indipendente di fr. 1'335'000, che la relativa tassazione “ su reclamo rettificata ” è cresciuta in giudicato e che il ricorrente non comprova, neppure secondo il principio della verosimiglianza preponderante valido nelle assicurazioni sociali, un errore manifesto, debitamente comprovato, immediatamente emendabile oppure un fatto irrilevante dal profilo fiscale ma decisivo in tema di assicurazioni sociali, l’ammontare del reddito soggetto a contribuzione deve essere confermato (cfr. anche sentenza 9C_441/2015 del 19 febbraio 2016 parzialmente pubblicata in SVR AVS Nr. 4 pag. 11). Non va poi dimenticato, che, nella misura in cui l’interessato afferma di essere titolare di una ditta individuale, è proprio nell’ambito della tassazione personale che vanno dichiarati tutti i redditi e le eventuali deduzioni derivanti dalla propria attività. L’insorgente non può, come sembra sostenere nelle more amministrative, inoltrare in un secondo tempo ed al di fuori della dichiarazione fiscale, un bilancio della ditta individuale. Questo Tribunale evidenzia del resto come con la dichiarazione fiscale 2013 l’insorgente, come era suo obbligo, ha già prodotto i conti della ditta (cfr. “ Liquidità __________ 2013 ”) ed è semmai nell’ambito della procedura fiscale che avrebbe dovuto contestare l’ammontare del reddito da attività indipendente (cfr. anche sentenza 9C_441/2015 del 19 febbraio 2016 parzialmente pubblicata in SVR AVS Nr. 4 pag. 11). Anche il riferimento all’art. 957 CO non può essergli d’aiuto. Certo, il cpv. 1 cifra 1, in vigore dal 1° gennaio 2013, come rileva l’insorgente, prevede che devono tenere la contabilità e presentare i conti conformemente alle disposizioni che seguono le imprese individuali e le società di persone con una cifra d’affari di almeno 500'000 franchi nell’ultimo esercizio. Tuttavia, a prescindere che, come emerge dalle “ istruzioni per i questionari 15 e 15a ” (605.040.34.1i) dell’amministrazione federale delle contribuzioni, il nuovo diritto contabile entrato in vigore il 1° gennaio 2013 “ viene applicato per la prima volta agli esercizi che iniziano due anni dopo la sua entrata in vigore, ossia dal 1° gennaio 2015 ”, i conti, come già rilevato, devono comunque essere prodotti unitamente alla dichiarazione fiscale personale, in concreto quella del 2013. Ne segue che l’importo stabilito dal fisco nella tassazione 2013, conformemente all’art. 23 cpv. 1 OAVS, è vincolante sia per la Cassa di compensazione che per il giudice delle assicurazioni sociali. Di conseguenza, se l’interessato non fosse stato d’accordo con l’ammontare del reddito da attività lucrativa indipendente avrebbe dovuto contestarlo in sede fiscale. La decisione su opposizione impugnata, su questo punto, si rivela pertanto corretta. 2.8.   Per quanto concerne gli interessi, l'art. 26 cpv. 1 LPGA prevede che i crediti di contributi dovuti o di contributi indebitamente riscossi sottostanno rispettivamente a interessi di mora o rimunerativi. Per l'art. 41bis cpv. 1 lett. f OAVS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(DTF 134 V 405, consid. 4.2).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2.9.   Nel caso in esame, la Cassa di compensazione ha chiesto al ricorrente il versamento di interessi di mora basandosi sull'art. 41bis (cfr. doc. 9) cpv. 1 lett. f OAVS e calcolandoli sulla base di 890 giorni di ritardo (dal 1° gennaio 2015 [ 1° gennaio dopo il termine dell'anno civile seguente l'anno di contribuzione] al 20 giugno 2017 [giorno della fatturazione]).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(consid. 3.3.2.2). Non vi è di conseguenza alcuna violazione del principio della buona fede da parte dell’amministrazione nel caso concreto ( cfr. sentenza 30.2016.32 del 12 settembre 2016; sentenza 30.2016.5+6 del 27 aprile 2016; sentenza 30.2015.35 del 24 marzo 2016, in cui la Cassa di compensazione ha ritardato di un anno l’emanazione nel 2015 della decisione di fissazione dei contributi dopo le notifiche di tassazione IFD 2008, 2009 e 2010 dell’ottobre 2014, mentre nel caso giudicato con la sentenza 30.2015.29 del 25 gennaio 2016 la Cassa ha emesso la decisione di fissazione dei contributi per il 2010 dopo tre anni dalla notifica di tassazione IFD 2010) . 2.10.   Nell'evenienza concreta spettava pertanto all’insorgente dar seguito ai suoi obblighi notificando immediatamente alla Cassa di compensazione il reddito aziendale conseguito nell’anno in esame, dopo la realizzazione di tale reddito. A questo proposito va evidenziato che con la summenzionata sentenza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2.11.   Anche il tasso del 5% applicato in virtù dell’art. 42 cpv. 2 OAVS va confermato. Il TF ha più volte stabilito che esso è conforme alla legge e non vi si può derogare (cfr. sentenza 9C_531/2015 del 22 marzo 2016, pubblicata in SVR 8/9 2016, AHV Nr. 9, pag. 25 e seguenti), poiché si tratta di un interesse tecnico (cfr. DTF 139 V 297 consid. 3.3.2.2) che non è da mettere in relazione con i tassi d’interesse dei mercati finanziari (sentenza 9C_531/2015 del 22 marzo 2016, pubblicata in SVR 8/9 2016, AHV Nr. 9, pag. 25 e seguenti). 2.12.   Infine, per quanto concerne la richiesta di condono degli interessi, va rammentato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non essendo oggetto della decisione, il Tribunale non può esprimersi in merito alla richiesta di condono. L’incarto va pertanto trasmesso alla Cassa affinché si esprima sulla domanda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