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30.2017.34 vom 24. November 2017</w:t>
      </w:r>
    </w:p>
    <w:p>
      <w:r>
        <w:t>TI Tribunale d'appello, 2017-11-24, IT</w:t>
      </w:r>
    </w:p>
    <w:p>
      <w:r>
        <w:rPr>
          <w:b/>
        </w:rPr>
        <w:t xml:space="preserve">Quelle: </w:t>
      </w:r>
      <w:r>
        <w:t>https://mcp.opencaselaw.ch/entscheid/ti_gerichte_30.2017.34</w:t>
      </w:r>
    </w:p>
    <w:p>
      <w:r>
        <w:t>FR: TI_GERICHTE 30.2017.34 du 24 novembre 2017</w:t>
      </w:r>
    </w:p>
    <w:p>
      <w:r>
        <w:t>IT: TI_GERICHTE 30.2017.34 del 24 novembre 2017</w:t>
      </w:r>
    </w:p>
    <w:p>
      <w:pPr>
        <w:pStyle w:val="Heading2"/>
      </w:pPr>
      <w:r>
        <w:t>Regeste</w:t>
      </w:r>
    </w:p>
    <w:p>
      <w:r>
        <w:t>Tempestività della fissazione dei contributi dovuti nel 2013 quale persona senza attività lucrativa. Correttezza del calcolo degli interessi di mora</w:t>
      </w:r>
    </w:p>
    <w:p>
      <w:pPr>
        <w:pStyle w:val="Heading2"/>
      </w:pPr>
      <w:r>
        <w:t>Erwägungen</w:t>
      </w:r>
    </w:p>
    <w:p>
      <w:r>
        <w:rPr>
          <w:b/>
        </w:rPr>
        <w:t>E. 10</w:t>
      </w:r>
    </w:p>
    <w:p>
      <w:r>
        <w:t>cpv. 2 LAVS; nella versione in vigore dal 1° gennaio 2013: 392 franchi), i contributi sono determinati in base alla sostanza e al reddito conseguito in forma di rendita. Le rendite giusta gli articoli 36 e 39 LAI non rientrano nel reddito conseguito in forma di rendita (cfr. DTF 143 V 254).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5.   Nella sua giurisprudenza, l'allora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rendite. Infatti, si tratta di elementi del reddito che esercitano un'influenza sulle condizioni sociali di una persona senza attività lucrativa (DTF 127 V 65 consid. 4a; DTF 107 V 68; Pratique VSI 1994 pag. 207 e 176; RCC 1991 pag. 433 consid. 3a, con riferimenti di dottrina e di giurisprudenza). La giurisprudenza dell'allora Tribunale federale delle assicurazioni è stata ripresa nelle Direttive sui contributi dei lavoratori indipendenti e delle persone senza attività lucrativa (DIN) nell'AVS, AI e IPG, edite dall'UFAS che, dal 1° gennaio 2012, al N. 2089 DIN considera come reddito conseguito sotto forma di rendite segnatamente: le rendite di vecchiaia, per vedove e per vedovi dell’AVS, le rendite e le pensioni di ogni genere, comprese quelle versate da un'assicurazione sociale di uno Stato estero (RCC 1991 pag. 433 consid. 3c, RCC 1988 pag. 184), le rendite del secondo pilastro e l'anticipo AVS che l'istituto di previdenza accorda ad un assicurato prima dell'età che dà diritto alla rendita AVS (DTF 141 V 186: conferma della giurisprudenza secondo cui una rendita transitoria erogata dall'istituto di previdenza professionale fino al raggiungimento dell'età pensionabile AVS deve essere qualificata come reddito acquisito sotto forma di rendita a norma dell' art. 28 OAVS [consid. 3.1]; RCC 1988 pag. 184), le rendite d'invalidità e le indennità giornaliere dell'assicurazione infortuni obbligatoria (RCC 1982 pag. 82), le rendite d'invalidità dell'assicurazione militare (RCC 1949 pag. 473), le indennità giornaliere dell'assicurazione malattia (RCC 1980 pag. 211), le rendite per perdita di guadagno versate dalle assicurazioni-vita private e le rendite versate da istituti stranieri d'assicurazione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d'abitazione (art. 776 CC), il valore locativo di un'abitazione messa gratuitamente a disposizione (RCC 1965 pag. 93), l'importo stimato delle spese ritenuto dalle autorità fiscali per il calcolo dell'imposta secondo il dispendio giusta l'art. 14 LIFD, i redditi periodici provenienti dalla vendita di brevetti, dalla concessione di licenze o dal trasferimento di diritti d'autore sempreché non si tratti di redditi provenienti dall'esercizio di un'attività lucrativa (RCC 1951 pag. 236), le prestazioni fornite in maniera duratura da un terzo (RCC 1979 pag. 29), le rendite dell’AVS per i figli che sono versate con la rendita di vecchiaia alla persona tenuta a pagare i contributi (DIN; nella versione in vigore dal 1° gennaio 2014: le rendite dell’AVS per figli alle quali il beneficiario di una rendita AVS ha diritto; cfr. art. 22ter LAVS),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o del partner registrato che non soggiace all'assicurazione svizzera (Pratique VSI 1999 pag. 204 = DTF 125 V 230, Pratique VSI 1994 pag. 174). Al contrario, non rientrano nel concetto di reddito conseguito sotto forma di rendite (cfr. N. 2090 DIN, in vigore dal 1° gennaio 2012): i contributi di mantenimento del diritto di famiglia a condizione che non siano già contemplati nel marg. N. 2089 DIN (art. 328 CC); le prestazioni complementari; le prestazioni d’assistenza regolari dell’aiuto sociale; tutte le rendite della LAI (art. 28 cpv. 1 OAVS); le rendite e pensioni per figli di cui i figli sono creditori diretti (per esempio le rendite per orfani della LAVS, della LPP e della LAINF; RCC 1990, pag. 454); il provento della sostanza se l'importo di quest'ultima è noto o può essere stabilito dalla cassa di compensazione (RCC 1976 = DTF 101 V 177; RCC 1990 pag. 454; Pratique VSI 1994 pag. 207 = DTF 120 V 163); le prestazioni periodiche versate a fine rapporto dal datore di lavoro ed il cui valore capitalizzato è stato sottoposto a contribuzione in virtù dell ' art. 7 lett. q OAVS in occasione del primo versamento (STF H 242/04 dell ' 8 settembre 2005); gli assegni per grandi invalidi delle assicurazioni sociali. Per sostanza , ai fini dell'art. 28 OAVS si deve intendere l'insieme dei beni mobili o immobili di proprietà dell'assicurato, situati sia in Svizzera che all'estero (cfr. anche DTF 143 V 254; RCC 1952 pag. 94; Käser , Assurance-Vieillesse et Survivants II, FJS n. 468, pag. 15). Fanno pure parte della sostanza determinante del marito i beni della moglie qualunque sia il regime matrimoniale dei coniugi (DTF 135 V 361; SVR 2011 AHV Nr. 10, Pratique VSI 1994 pag. 174; RCC 1991 pag. 437 consid. 4b, DTF 105 V 241), i beni di cui l'assicurato ha l'usufrutto ed i beni dei figli minorenni (DTF 101 V 178 = RCC 1976 pag. 153). Ciononostante, computabile è unicamente la sostanza al netto, vale a dire che dal valore lordo devono essere detratti, fra l'altro, i relativi debiti ( Käser , Unterstellung und Beitragswesen in der obligatorischen AHV, 2a edizione, Zurigo 1996, pag. 228, N. 10.28; Greber/Duc/Scartazzini , Commentaire des articles 1 à 16 de la loi fédérale sur l'assurance-vieillesse et survivants (LAVS), pag. 347 N. 24 ad art. 10 LAVS). 6.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w:t>
      </w:r>
    </w:p>
    <w:p>
      <w:r>
        <w:rPr>
          <w:b/>
        </w:rPr>
        <w:t>E. 14</w:t>
      </w:r>
    </w:p>
    <w:p>
      <w:r>
        <w:t>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4 Per il resto, gli articoli 22-27 sono applicabili per analogia alla fissazione e alla determinazione dei contributi (art. 29 cpv. 7 prima frase OAVS). 7.   Per quanto concerne la prescrizione, l’art. 16 cpv. 1 1a frase LAVS dispone che i contributi il cui importo non è stato fissato mediante decisione formale entro un termine di cinque anni dalla fine dell’anno civile per il quale sono dovuti non possono più essere né pretesi né pagati. Giusta l’art. 16 cpv. 1 2a frase LAVS, in deroga all’articolo 24 capoverso 1 LPGA, per i contributi secondo gli articoli 6 capoverso 1, 8 capoverso 1 e 10 capoverso 1 il termine di prescrizione scade soltanto un anno dopo la fine dell’anno civile in cui la tassazione fiscale determinante è passata in giudicato. I citati termini di prescrizione sono in realtà dei termini di perenzione e una decisione contributiva resa nei termini legali esclude una volta per tutte la perenzione prevista dall’art. 16 cpv. 1 LAVS (Kieser, ATSG Kommentar, Basilea Zurigo Ginevra 2015, 3.a ed., ad art. 24, p. 377, N. 43 ). Prima che la perenzione diventi definitiva i contributi devono essere indicati in una decisione notificata al debitore dei contributi (Greber/Duc/Scartazzini, Commentaire des articles 1 à 16 de la loi fédérale sur l’assurance-vieillese et survivants (LAVS) , 1996, pag. 409).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(cfr. Kieser, op. cit., ad art. 24, p. 377, N. 43 e seguenti e Greber/Duc/Scartazzini, op. cit., pag. 410, n. 9 ad art. 16). Nel caso di specie non vi è alcun dubbio che i contributi calcolati per l’anno 2013 con la decisione emessa il 6 aprile 2017 (doc. 12), sono stati fissati entro il termine quinquennale di perenzione. La tesi del ricorrente, secondo cui si dovrebbe per contro applicare il termine di prescrizione di un anno dopo la fine dell’anno civile in cui la tassazione fiscale determinante è passata in giudicato, previsto dall’art. 16 cpv. 1 2a frase LAVS, va respinta (cfr. per un caso analogo al presente, in cui un indipendente ha sollevato la medesima censura e in cui questo Tribunale ha respinto il ricorso: sentenza 30.2017.11 del 22 maggio 2017). Infatti con sentenza H 1/06 del 30 novembre 2006, ad un assicurato che sosteneva una tesi analoga, l’allora Tribunale federale delle assicurazioni (dal 2007: TF), dopo un accurato esame dell’art. 16 LAVS, ha confermato che il termine di un anno non è da intendere quale accorciamento del termine quinquennale, bensì quale ulteriore termine per fissare i contributi se la tassazione fiscale del periodo determinante viene emessa tardivamente (cfr. consid. 3.1 e seguenti, in particolare consid. 4.4.2 e seguenti; cfr. anche la sentenza 30.2015.35 del 24 marzo 2016, in cui la Cassa ha agito tempestivamente, giacché ha emanato nel 2015 la decisione di fissazione dei contributi per il 2008 e il 2009, ovvero entro un anno dalla fine dell’anno civile in cui la tassazione fiscale determinante, ossia quella su reclamo, è cresciuta in giudicato; in altre parole, il termine del 31 dicembre 2016 di cui all’art. 16 cpv. 1 2a frase LAVS era stato rispettato). Ne segue che la decisione del 6 aprile 2017 che fissa i contributi dovuti nel 2013 quale persona senza attività lucrativa è tempestiva. 8.   L’insorgente non contesta, di per sé, il calcolo dell’ammontare dei contributi dovuti, ridotti con la decisione su opposizione impugnata. Del resto la Cassa ha correttamente accertato che nel 2013 l’interessato ha percepito un reddito conseguito sotto forma di rendite di fr. 54'439.75 (fr. 149.15 di indennità giornaliera per malattia netta x 365 giorni; cfr. doc. 5), lo ha moltiplicato per 20 (art. 28 cpv. 2 OAVS), e, tenuto conto di una sostanza nulla evinta dalla dichiarazione fiscale, ha stabilito una sostanza determinante AVS, arrotondata ai fr. 50'000 inferiori (art. 28 cpv. 3 OAVS), di fr. 1'050'000, su cui ha calcolato i contributi dovuti. 9.   Circa gli interessi la Cassa, con la decisione su opposizione impugnata, ha stabilito che essi sarebbero stati fissati sull’importo complessivo dovuto di fr. 2'433.90 per 1176 giorni al tasso del 5%. La decisione dell’amministrazione, per i motivi che seguono, è corretta anche su questo punto. 10. Giusta l'art. 26 cpv. 1 LPGA, i crediti di contributi dovuti o di contributi indebitamente riscossi sottostanno rispettivamente a interessi di mora o rimunerativi. Per l'art. 41bis cpv. 1 lett. b OAVS devono segnatamente pagare gli interessi di mora le persone tenute a pagare i contributi, sui contributi reclamati per gli anni civili passati, a partire dal 1° gennaio dopo il termine dell’anno civile per il quale i contributi sono dovuti (cfr., per quanto concerne gli indipendenti e l’art. 41bis cpv. 1 lett. f OAVS, la DTF 134 V 405, consid. 4.2) .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11.   Nel caso in esame, la Cassa di compensazione ha chiesto al ricorrente il versamento di interessi di mora basandosi sull'art. 41bis cpv. 1 lett. b OAVS ed ha correttamente stabilito che essi vanno calcolati sulla base di 1176 giorni di ritardo (dal 1° gennaio 2014 [ 1° gennaio dopo il termine dell'anno civile per il quale i contributi sono dovuti] al 6 aprile 2017 [giorno della fatturazione]). Anche il tasso del 5% applicato in virtù dell’art. 42 cpv. 2 OAVS va confermato. Il TF ha più volte stabilito che esso è conforme alla legge e non vi si può derogare (cfr. sentenza 9C_531/2015 del 22 marzo 2016, pubblicata in SVR 8/9 2016, AHV Nr. 9, pag. 25 e seguenti), poiché si tratta di un interesse tecnico (cfr. DTF 139 V 297 consid. 3.3.2.2) che non è da mettere in relazione con i tassi d’interesse dei mercati finanziari (sentenza 9C_531/2015 del 22 marzo 2016, pubblicata in SVR 8/9 2016, AHV Nr. 9, pag. 25 e seguenti). Quanto alla circostanza che l’interessato ha agito in buona fede e che l’amministrazione avrebbe tardato ad emettere la decisione formale va in primo luogo rammentato che in applicazione dell’art. 64 cpv. 5 LAVS per il quale 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 spettava all’assicurato annunciarsi tempestivamente. Non va poi dimenticato che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secondo cui gli interessi di mora sono dovuti indipendentemente da colpa (consid. 3.3.2.2). Non va dimenticato che nella sentenza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12.   Alla luce della giurisprudenza federale il ricorrente non può di conseguenza discolparsi sostenendo che spettava alla Cassa agire più celermente (DTF 134 V 405; DTF 139 V 297; sentenza 30.2016.5+6 del 27 aprile 2016). Nell'evenienza concreta spettava semmai all’insorgente dar seguito ai suoi obblighi notificandosi immediatamente alla Cassa di compensazione. Non vi è di conseguenza alcuna violazione del principio della buona fede da parte dell’amministrazione nel caso concreto ( cfr. sentenza 30.2016.5+6 del 27 aprile 2016; sentenza 30.2015.35 del 24 marzo 2016, in cui la Cassa di compensazione ha ritardato di un anno l’emanazione nel 2015 della decisione di fissazione dei contributi dopo le notifiche di tassazione IFD 2008, 2009 e 2010 dell’ottobre 2014, mentre nel caso giudicato con la sentenza 30.2015.29 del 25 gennaio 2016 la Cassa ha emesso la decisione di fissazione dei contributi per il 2010 dopo tre anni dalla notifica di tassazione IFD 2010) . 13.   Quali prove l’assicurato cita i documenti e gli incarti presso la CO 1 di __________ e del Canton __________ (doc. I). La Cassa convenuta ha prodotto l’incarto dell’insorgente con la risposta di causa (doc. III). Questo TCA rinuncia all’assunzione di ulteriori prove, ritenuto che quelle prodotte dalle parti sono sufficienti per decidere nel merito della vertenza, sono complete ed esaustive e non necessitano di complementi (cfr. anche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