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30.2017.18 vom 10. Oktober 2017</w:t>
      </w:r>
    </w:p>
    <w:p>
      <w:r>
        <w:t>TI Tribunale d'appello, 2017-10-10, IT</w:t>
      </w:r>
    </w:p>
    <w:p>
      <w:r>
        <w:rPr>
          <w:b/>
        </w:rPr>
        <w:t xml:space="preserve">Quelle: </w:t>
      </w:r>
      <w:r>
        <w:t>https://mcp.opencaselaw.ch/entscheid/ti_gerichte_30.2017.18</w:t>
      </w:r>
    </w:p>
    <w:p>
      <w:r>
        <w:t>FR: TI_GERICHTE 30.2017.18 du 10 octobre 2017</w:t>
      </w:r>
    </w:p>
    <w:p>
      <w:r>
        <w:t>IT: TI_GERICHTE 30.2017.18 del 10 ottobre 2017</w:t>
      </w:r>
    </w:p>
    <w:p>
      <w:pPr>
        <w:pStyle w:val="Heading2"/>
      </w:pPr>
      <w:r>
        <w:t>Regeste</w:t>
      </w:r>
    </w:p>
    <w:p>
      <w:r>
        <w:t>Contributi dovuti come indipendente. Reddito da attività indipendente.Commercio professionale di immobili.Gli utili che ne derivano sono imponibili.L'importo stabilito dall'UT è vincolante x Cassa e TCA.L'istanza di revisione fiscale era irricevibile,quindi i redditi ritenuti sono determinanti x AVS</w:t>
      </w:r>
    </w:p>
    <w:p>
      <w:pPr>
        <w:pStyle w:val="Heading2"/>
      </w:pPr>
      <w:r>
        <w:t>Erwägungen</w:t>
      </w:r>
    </w:p>
    <w:p>
      <w:r>
        <w:rPr>
          <w:b/>
        </w:rPr>
        <w:t>E. 30</w:t>
      </w:r>
    </w:p>
    <w:p>
      <w:r>
        <w:t>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2.5.   Occorre ancora osservare che a norma dell'art. 17 OAVS, di cui al rinvio dell'art. 9 LAVS, sono considerati reddito proveniente da un'attività lucrativa indipendente ai sensi dell'art. 9 cpv.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limita a esplicitare quanto vigeva già in precedenza; da parte loro, gli articoli da 17 a 23 LIFD si limitano a descrivere i redditi imponibili più importanti e definiscono in particolare i redditi da attività lucrativa dipendente ed indipendente. Per il legislatore, dunque, secondo quanto conclude il Tribunale federale, anche gli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ritenere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2A.37/2004 del 25 marzo 2004). Per stabilire se si è o no in presenza di un commercio professionale di immobili si deve tenere conto dell'insieme delle circostanze del caso concreto ( DTF 125 II 113 consid. 3c e 6a). Da quanto precede discende che il commercio professionale di immobili, considerata attività lucrativa di tipo indipendente, viene tassata fiscalmente a livello federale (art. 18 LIFD). Per contro, a livello cantonale non avviene una specifica tassazione, giacché l’utile ricavato dalla vendita (professionale) di immobili viene già tassato di volta in volta con la tassa sugli utili immobiliari (STCA 30.2015.35 del 24 marzo 2016; STCA 30.2015.29 del 25 gennaio 2016). 2.6.   In concreto l’assicurato ha contestato in via principale la sua affiliazione quale indipendente nel 2013 come commerciante professionale di immobili e in via subordinata ha chiesto che l’utile conseguito sia al limite fissato in Fr. 185'035,60 contro i  Fr. 496'124,05 ritenuti dalla Cassa di compensazione. Nel caso di specie l’8 marzo 2017 (doc. 9a) l’Ufficio circondariale di tassazione di __________ ha confermato che il reddito esposto in sede di tassazione (Fr. 448'000.-) si riferisce all’utile derivante dal commercio professionale di immobili, che il reddito aziendale effettivo soggetto a contribuzione è pari a Fr. 491'527.-, che dal reddito imposto l’assicurato ha dedotto i contributi AVS/AI/IPG di Fr. 43'527.- e che la tassazione è cresciuta in giudicato. L’importo così determinato, conformemente all’art. 23 cpv. 1 OAVS, è pertanto vincolante sia per la Cassa di compensazione che per il giudice delle assicurazioni sociali (cfr. consid. 2.3 e 2.4). Di conseguenza, se l’interessato non fosse stato d’accordo con l’ammontare dell’utile (Fr. 448'000.-) e/o con la sua qualifica di reddito da attività indipendente accessoria, avrebbe dovuto contestarlo in sede fiscale (cfr. consid. 2.4). Ed in tal senso ha agito l’assicurato, ma i tentativi che ha messo in atto affinché l’autorità fiscale annullasse la sua qualifica di commerciante professionale di immobili rispettivamente che riducesse l’importo del reddito considerato da attività lucrativa indipendente non sono andati a buon fine. In effetti, l’istanza di revisione dell’11 maggio 2017 è stata dichiarata irricevibile il 17 maggio 2017 (doc. VI/2), mentre il reclamo del 14 giugno 2017 è stato respinto dalla decisione su reclamo del 22 giugno 2017 (doc. VI/1). L’Ufficio circondariale di tassazione di __________ ha esposto nella sua decisione del 17 maggio 2017 i principi alla base della revisione di una tassazione (art. 147 LIFD) e ha ritenuto l’istanza dei contribuenti irricevibile per tardività. L’autorità fiscale non ha infatti creduto alla tesi secondo cui gli interessati (l’assicurato e la moglie) sarebbero venuti a conoscenza della notifica di tassazione IC/IFD 2013 emessa il 13 gennaio 2016 soltanto con la decisione su opposizione del 28 marzo 2017 della Cassa di compensazione. Prova ne è che il 22 febbraio 2016 i contribuenti hanno pagato il dovuto d’imposta di oltre Fr. 73'000.- con un acconto volontario di quasi Fr. 50'000.- e che il saldo è stato corrisposto in seguito con sei versamenti così come concordato con l’Ufficio di esazione e condoni sulla base di una richiesta dei debitori del giugno 2016. Inoltre, il 1° dicembre 2016 la Cassa di compensazione aveva notificato all’assicurato la decisione di fissazione dei contributi personali per indipendenti per l’anno 2013, dalla quale risultava che il reddito netto da attività indipendente era stato fissato in  Fr. 448'000.- e, aggiungendovi i contributi AVS/AI/IPG, il reddito soggetto a contribuzione era stato stabilito in Fr. 496'100.-. Pertanto, l’Ufficio di tassazione ha rilevato che, semmai, l’istanza di revisione avrebbe dovuto essergli inviata entro 90 giorni giusta l’art. 148 LIFD e quindi al più tardi entro il 1° marzo 2017. Ad ogni modo, ha osservato l’autorità fiscale, quand’anche detta istanza di revisione fosse stata ricevibile, la stessa sarebbe stata ugualmente respinta in virtù dell’art. 147 cpv. 2 LIFD, poiché non poteva essere ammessa per motivi che il contribuente, usando la diligenza che da lui si poteva pretendere, sarebbe stato in grado di fare valere già nella procedura ordinaria. In merito all’imposizione come reddito da attività indipendente, l’Ufficio di tassazione ha infine osservato che l’assicurato era già stato tassato per commercio professionale di immobili negli anni dal 2008 al 2012, perciò gli utili conseguiti con le alienazioni immobiliari avvenute nel 2013 sono stati anch’essi assoggettati all’imposta federale diretta quale reddito da attività indipendente. In seguito, il reclamo inoltrato contro la suesposta decisione di rigetto dell’istanza di revisione è stato respinto. Il 22 giugno 2017 (doc. VI/1) la medesima autorità fiscale ha infatti rilevato che il reclamante non ha sollevato obiezioni tali da contrastare l’irricevibilità per tardività della sua istanza di revisione. Inoltre, egli nemmeno ha indicato dei validi motivi di revisione e non ha fatto prova della necessaria diligenza che ci si poteva aspettare nell’ambito della procedura ordinaria. 2.7.   Stante quanto precede, considerata poi la conferma da parte dell’Ufficio di tassazione di __________ della qualifica del reddito da attività indipendente dell’assicurato per l’anno di contribuzione 2013 resa con la decisione su reclamo del 22 giugno 2017, cresciuta incontestata in giudicato, è quindi a buon diritto che vanno confermati gli importi contestati della decisione di fissazione dei contributi personali AVS/AI/IPG dovuti dal ricorrente per il 2013 come persona esercitante un’attività lucrativa indipendente, e meglio come commerciante professionale di immobili. Gli utili derivanti dal commercio professionale di immobili, fissati in Fr. 448'000.-, devono pertanto servire quale base di calcolo per essere assoggettati quale reddito da attività indipendente. Alla luce di tutto quanto sopra esposto questo Tribunale non ha dunque alcun motivo per scostarsi dalla decisione impugnata. Il ricorso deve di conseguenza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