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30.2016.41 vom 7. Februar 2017</w:t>
      </w:r>
    </w:p>
    <w:p>
      <w:r>
        <w:t>TI Tribunale d'appello, 2017-02-07, IT</w:t>
      </w:r>
    </w:p>
    <w:p>
      <w:r>
        <w:rPr>
          <w:b/>
        </w:rPr>
        <w:t xml:space="preserve">Quelle: </w:t>
      </w:r>
      <w:r>
        <w:t>https://mcp.opencaselaw.ch/entscheid/ti_gerichte_30.2016.41</w:t>
      </w:r>
    </w:p>
    <w:p>
      <w:r>
        <w:t>FR: TI_GERICHTE 30.2016.41 du 7 février 2017</w:t>
      </w:r>
    </w:p>
    <w:p>
      <w:r>
        <w:t>IT: TI_GERICHTE 30.2016.41 del 7 febbraio 2017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luglio 2016 lAlta Corte ha ribadito che in ogni caso atti di causa (reclami, ricorsi, ecc.) inviati per fax (come per semplice e-mail) [] non esplicano alcun effetto giuridico sotto il profilo della decorrenza dei termini e non salvaguardano la tempestività ad agire [].</w:t>
      </w:r>
    </w:p>
    <w:p>
      <w:r>
        <w:t>In una sentenza 8C_386/2016 del 10 novembre 2016 il TF, con riferimento alla citata DTF 142 V 152, ha in sostanza rammentato al consid. 4.1 che invii per fax, posta elettronica o servizi di messaggeria elettronica (per esempio SMS, MMS, WhatsApp, ecc.) non soddisfano i requisiti della forma scritta.</w:t>
      </w:r>
    </w:p>
    <w:p>
      <w:r>
        <w:t>5.   In concreto, alla luce della giurisprudenza federale, lopposizione tramite e-mail del 30 maggio 2016 non ha prodotto alcun effettogiuridico sotto il profilo della decorrenza dei termini e non ha salvaguardato la tempestività ad agire (8C_346/2016 del 13 luglio 2016; DTF 142 V 152).</w:t>
      </w:r>
    </w:p>
    <w:p>
      <w:r>
        <w:t>La Cassa avrebbe potuto limitarsi a rendere attenta lassicurata della necessità di sanare il vizio entro lo scadere del termine di ricorso (DTF 142 V 152 consid. 4.6).</w:t>
      </w:r>
    </w:p>
    <w:p>
      <w:r>
        <w:t>Lamministrazione, con lo scritto del 9 giugno 2016 (doc. 8), oltre a rendere attenta lassicurata che lopposizione era priva di firma e che dunque non adempiva i requisiti di cui allart. 10 cpv. 1 OPGA (pag. 1), le ha in sostanza assegnato un termine di 20 giorni, per sanare il vizio (pag. 2: [] se conferma lopposizione: la medesima non adempie i requisiti previsti dallart. 10 cpv. 1 OPGA2poiché della firma dellopponente e del rappresentante [sic; ]2Art. 10 cpv. 5 OPGA: se lopposizione non soddisfa i requisiti di cui al capoverso 1 o se manca la firma, lassicuratore assegna un congruo termine per rimediarvi, con la comminatoria che in caso contrario non si entrerà nel merito [sottolineatura in originale]). L11 luglio 2016 lamministrazione ha nuovamente interpellato la ricorrente, assegnandole un nuovo termine di 5 giorni per determinarsi circa il mantenimento o meno del ricorso (doc. 5).</w:t>
      </w:r>
    </w:p>
    <w:p>
      <w:r>
        <w:t>La Cassa ha dunque concesso allassicurata, la quale è rimasta silente e non ha in nessun modo reagito, un termine maggiormente ampio rispetto a quello cui avrebbe avuto diritto (cfr. DTF 142 V 152 consid. 4.6).</w:t>
      </w:r>
    </w:p>
    <w:p>
      <w:r>
        <w:t>Linteressata non può trarre alcun vantaggio dalla circostanza che il 19 febbraio 2016 avrebbe parlato con una funzionaria della Cassa contestando lintenzione di affiliarla quale dipendente, trattandosi di un colloquio avvenuto prima dellemissione della decisione formale (28 aprile 2016 [doc. 10]). Del resto dalle-mail del 19 febbraio 2016, che fa riferimento alla conversazione telefonica odierna, non emerge una contestazione delle affermazioni della Cassa ma una semplice descrizione della sua attività (doc. 15).</w:t>
      </w:r>
    </w:p>
    <w:p>
      <w:r>
        <w:t>Nemmeno il colloquio che linteressata afferma di aver avuto ad inizio maggio 2016 con la medesima funzionaria nel corso del quale avrebbe espresso la sua opposizione può esserle daiuto.</w:t>
      </w:r>
    </w:p>
    <w:p>
      <w:r>
        <w:t>Da una parte nelle-mail del 30 maggio 2016 linteressata non accenna ad una precedente opposizione tramite telefono (doc. 9). Daltra parte, a prescindere dalla circostanza che la giurisprudenza, fino ad ora, non ha ammesso lopposizione per telefono (cfr. Kieser, ATSG-Kommentar, 2015, 3a edizione, n. 31 ad art. 52, pag. 688-689, con riferimento alla SVR 1998 UV n. 12) e che lart. 10 cpv. 3 OPGA prevede la possibilità di formulare unopposizione oralmente ma durante un colloquio personale, va rilevato che nel caso di specie lamministrazione ha comunque assegnato alla ricorrente un termine per sanare il vizio con lo scritto del 9 giugno 2016 (doc. 8).</w:t>
      </w:r>
    </w:p>
    <w:p>
      <w:r>
        <w:t>Alla luce di tutto quanto sopra esposto è a giusta ragione che la Cassa, senza incorrere in un formalismo eccessivo, ha dichiarato irricevibile lopposizione poiché non adempie i presupposti dellart. 10 cpv. 4 OPGA.</w:t>
      </w:r>
    </w:p>
    <w:p>
      <w:r>
        <w:t>Ne segue che il ricorso va respinto.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