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30.2015.36 vom 24. März 2016</w:t>
      </w:r>
    </w:p>
    <w:p>
      <w:r>
        <w:t>TI Tribunale d'appello, 2016-03-24, IT</w:t>
      </w:r>
    </w:p>
    <w:p>
      <w:r>
        <w:rPr>
          <w:b/>
        </w:rPr>
        <w:t xml:space="preserve">Quelle: </w:t>
      </w:r>
      <w:r>
        <w:t>https://mcp.opencaselaw.ch/entscheid/ti_gerichte_30.2015.36</w:t>
      </w:r>
    </w:p>
    <w:p>
      <w:r>
        <w:t>FR: TI_GERICHTE 30.2015.36 du 24 mars 2016</w:t>
      </w:r>
    </w:p>
    <w:p>
      <w:r>
        <w:t>IT: TI_GERICHTE 30.2015.36 del 24 marzo 2016</w:t>
      </w:r>
    </w:p>
    <w:p>
      <w:pPr>
        <w:pStyle w:val="Heading2"/>
      </w:pPr>
      <w:r>
        <w:t>Regeste</w:t>
      </w:r>
    </w:p>
    <w:p>
      <w:r>
        <w:t>Affiliazione quale commerciante professionale di immobili. I dati evinti dalla tassazione IFD cresciuta in giudicato sono, di norma, vincolanti. Eventuali spese devono essere fatte valere in sede fiscale</w:t>
      </w:r>
    </w:p>
    <w:p>
      <w:pPr>
        <w:pStyle w:val="Heading2"/>
      </w:pPr>
      <w:r>
        <w:t>Erwägungen</w:t>
      </w:r>
    </w:p>
    <w:p>
      <w:r>
        <w:rPr>
          <w:b/>
        </w:rPr>
        <w:t>E. 23</w:t>
      </w:r>
    </w:p>
    <w:p>
      <w:r>
        <w:t>cpv. 5 OAVS). 2.4.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(nel tenore in vigore dal 1.1.2012; la lett. d in vigore dal 1.1.1997 al 31.12.2011 prevedeva: “ le elargizioni fatte dal titolare dell’azienda, durante il periodo di computo, a scopo di beneficenza al proprio personale, sempre che sia garantito che siffatte elargizioni non possano ulteriormente servire ad altro uso, e le elargizioni fatte a scopo esclusivamente di utilità pubblica. Non sono deducibili i contributi da versare in conformità all’articolo 8 e quelli previsti dalla legge federale del 19 giugno 1959 su l’assicurazione per l’invalidità (LAI) e dalla legge federale del 25 settembre 1952 sulle indennità di perdita di guadagno in caso di servizio militare o di protezione civile ”);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(nel tenore in vigore dal 1.1.2012; la lett. f nel tenore dal 1.1.1997 al 31.12.2011 prevedeva: “ l’interesse del capitale proprio impegnato nell’azienda. Il Consiglio federale fissa il tasso d’interesse d’intesa con la Commissione federale dell’assicurazione per la vecchiaia, i superstiti e l’invalidità ”). Il Consiglio federale può accordare, all'occorrenza, altre deduzioni dal reddito lordo proveniente da un'attività lucrativa indipendente. Ai sensi dell’art. 9 cpv. 3 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2.5.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(cfr. DTF 134 V 250, consid. 3).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2.6.   Va ancora rilevato che a norma dell'art. 17 OAVS, di cui al rinvio dell'art. 9 LAVS,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l'articolo 18 capoverso 2 LIFD e gli utili conseguiti con l'alienazione di fondi agricoli e silvicoli giusta l'articolo 18 capoverso 4 LIFD, eccetto i redditi da partecipazioni dichiarati quali sostanza commerciale giusta l'articolo 18 capoverso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limita a esplicitare quanto vigeva già in precedenza; da parte loro, gli articoli da 17 a 23 LIFD si limitano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del 25 marzo 2004 nella 2A.37/2004). Per stabilire se si è o no in presenza di un commercio professionale d'immobili, si deve tenere conto dell'insieme delle circostanze del caso concreto (cfr. DTF 125 II 113 consid. 3c e 6a). 2.7.   In concreto l’assicurato, correttamente, non contesta l’affiliazione quale indipendente nel 2010 nella sua qualità di commerciante professionale d’immobili, ma sostiene che dal reddito conseguito di fr. 401'398 vanno ancora dedotte le spese (cfr., a questo proposito, il consid. 2.4). Nel caso di specie l’Ufficio circondariale di tassazione di __________ il 10 novembre 2015 ha confermato che il reddito esposto in sede di tassazione si riferisce all’utile derivante dal commercio professionale di immobili, che dal reddito imposto non sono stati dedotti i contributi AVS/AI/IPG (da cui la rettifica in sede di opposizione del calcolo da parte della Cassa; cfr. doc. A, art. 9 cpv. 4 LAVS e DTF 139 V 537) e che la tassazione è cresciuta in giudicato (doc. 3). L’importo così determinato, conformemente all’art. 23 cpv. 1 OAVS, è pertanto vincolante sia per la Cassa che per il Giudice delle assicurazioni sociali (cfr. consid. da 2.3 a 2.5). Se l’interessato non fosse stato d’accordo con l’ammontare del reddito aziendale, e avesse inteso dedurre ulteriori spese, avrebbe dovuto contestarlo in sede fiscale (cfr. consid. da 2.3 a 2.5). Infatti le deduzioni previste dall’art. 9 cpv. 2 LAVS alle lettere da a ad f concordano con quelle dell’imposta federale diretta (cfr. anche RCC 1986, pag. 173; art. 27 e seguenti LIFD) e perciò tali detrazioni vengono già operate in sede fiscale. Il reddito comunicato dal fisco è quindi, di principio, al netto delle spese (cfr. sentenza 30.2011.8 del 16 maggio 2011; sentenza 30.2001.203 del 31 luglio 2002, sentenza 30.2000.94 del 4 gennaio 2001 e sentenza 30.1999.116 del 25 maggio 2000). Per l’art. 18 cpv. 1 OAVS infatti per distinguere e determinare le deduzioni ammesse in conformità dell’articolo 9 capoverso 2 lettere a-e LAVS, sono applicabili le disposizioni in materia di imposta federale diretta (cfr. anche sentenza 9C_179/2007 del 7 novembre 2007, consid. 4.2). Del resto, chiamato a prendere posizione circa l’attestazione di crescita in giudicato della tassazione IFD 2010 ed a precisare se nel frattempo, come indicato in sede di ricorso, ha chiesto ed eventualmente ottenuto, una modifica della decisione di tassazione (doc. V), l’insorgente ha affermato di non essere ancora riuscito ad entrare in contatto con la persona competente in merito, limitandosi a produrre alcuni scambi di e-mail con l’Ufficio di tassazione (doc. VI). Certo, l’insorgente ha chiesto una proroga “ sino a quando riesco a incontrare il signor __________ per un ricalcolo della tassazione federale ” (doc. VI). Tuttavia, la richiesta è stata inoltrata con scritto del 18 marzo 2016, ossia successivamente alla scadenza del termine fissato al 10 marzo 2016 (doc. V). Ora, per l’art. 40 cpv. 3 LPGA, applicabile in virtù del rinvio di cui all’art. 60 cpv. 2 LPGA, il termine stabilito dall’assicuratore (rispettivamente dal Giudice) può essere prorogato, purché sussistano motivi sufficienti, se la parte ne fa richiesta prima della scadenza. In concreto non solo la domanda è stata inoltrata ampiamente dopo la scadenza del termine, ma l’insorgente evidenzia pure di non essere nemmeno riuscito a contattare il funzionario preposto che dovrebbe eventualmente decidere circa la revisione della sua tassazione federale 2010. Ora, malgrado già in sede di ricorso, il 24 dicembre 2015, l’interessato avesse chiesto di posticipare la sentenza “ fino al momento del nuovo importo della tassazione federale ” (doc. I), dalla documentazione prodotta con lo scritto del 18 marzo 2016 si evince che solo il 9 marzo 2016 il ricorrente, tramite e-mail trasmessa dal suo smartphone, ha chiesto un “ ricalcolo ” della tassazione al fisco (doc. VI/Bis). In queste condizioni una proroga del termine, richiesta tardivamente, non può essere concessa. Questo Tribunale non ha di conseguenza alcun motivo per scostarsi dalla tassazione IFD 2010 cresciuta incontestata in giudicato, non essendo stati sollevati motivi per ritenere che contenga errori manifesti e debitamente comprovati o immediatamente emendabili (cfr. consid. 2.5.). A questo proposito va ancora evidenziato che di principio il commercio professionale di immobili viene tassato a livello federale (art. 18 LIFD), mentre a livello cantonale non avviene una specifica tassazione, giacché l’utile ricavato dalla vendita professionale di immobili viene, di principio, assoggettato alla tassa sugli utili immobiliari e dunque è solo nella notifica IFD che risulta un reddito imponibile, mentre nella tassazione cantonale tale reddito non appare (sentenza 30.2015.29 del 25 gennaio 2016, consid. 2.8). Non va poi dimenticato che secondo costante giurisprudenza l'autorità giudicante deve limitare l'esame del caso alla situazione effettiva che si presenta all'epoca in cui è stata resa la decisione impugnata, in concreto il 27 novembre 2015,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sentenza 8C_402/2015 del 29 febbraio 2016, consid. 5.3 in fine, con riferimento alla DTF 132 V 215, consid. 3.1.1 pag. 220). Alla luce di tutto quanto sopra esposto questo Tribunale non ha alcun motivo per scostarsi dalla decisione impugnata. Il ricorso deve di conseguenza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