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30.2015.33 vom 4. April 2013</w:t>
      </w:r>
    </w:p>
    <w:p>
      <w:r>
        <w:t>TI Tribunale d'appello, 2013-04-04, IT</w:t>
      </w:r>
    </w:p>
    <w:p>
      <w:r>
        <w:rPr>
          <w:b/>
        </w:rPr>
        <w:t xml:space="preserve">Quelle: </w:t>
      </w:r>
      <w:r>
        <w:t>https://mcp.opencaselaw.ch/entscheid/ti_gerichte_30.2015.33</w:t>
      </w:r>
    </w:p>
    <w:p>
      <w:r>
        <w:t>FR: TI_GERICHTE 30.2015.33 du 4 avril 2013</w:t>
      </w:r>
    </w:p>
    <w:p>
      <w:r>
        <w:t>IT: TI_GERICHTE 30.2015.33 del 4 aprile 2013</w:t>
      </w:r>
    </w:p>
    <w:p>
      <w:pPr>
        <w:pStyle w:val="Heading2"/>
      </w:pPr>
      <w:r>
        <w:t>Regeste</w:t>
      </w:r>
    </w:p>
    <w:p>
      <w:r>
        <w:t>Riconsiderazione di una decisione di calcolo della rendita AVS. La Cassa di compensazione non aveva ripartito gli accrediti per compiti educativi tra i coniugi. Conferma della restituzione dell'importo versato in troppo nel corso degli ultimi anni</w:t>
      </w:r>
    </w:p>
    <w:p>
      <w:pPr>
        <w:pStyle w:val="Heading2"/>
      </w:pPr>
      <w:r>
        <w:t>Erwägungen</w:t>
      </w:r>
    </w:p>
    <w:p>
      <w:r>
        <w:rPr>
          <w:b/>
        </w:rPr>
        <w:t>E. 29</w:t>
      </w:r>
    </w:p>
    <w:p>
      <w:r>
        <w:t>sexies cpv. 3 LAVS).</w:t>
      </w:r>
    </w:p>
    <w:p>
      <w:r>
        <w:t>L'irregolarità deve essere manifesta. Il Tribunale federale ha precisato (STF 8C_883/2008 del 31 marzo 2009, consid. 4.1.2):</w:t>
      </w:r>
    </w:p>
    <w:p>
      <w:r>
        <w:t>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w:t>
      </w:r>
    </w:p>
    <w:p>
      <w:r>
        <w:t>8.   In concreto,nel corso del mese di ottobre 2015, la Cassa si è accorta che nel calcolare la rendita di vecchiaia attribuita con la decisione del 4 aprile 2013 (doc. 33), non aveva ripartito gli accrediti per compiti educativi dovuti per il periodo dal 1974 al 1996 (cfr. consid. 5), contrariamente a quanto prevede lart. 29 sexies cpv. 3 LAVS per il quale laccredito per compiti educativi assegnato alle persone coniugate durante gli anni civili di matrimonio è ripartito per metà tra i coniugi.</w:t>
      </w:r>
    </w:p>
    <w:p>
      <w:r>
        <w:t>La decisione del 4 aprile 2013, che si fonda su un calcolo non conforme alla legge (art. 29 sexies cpv. 3 LAVS), è di conseguenza manifestamente errata. Non prendendo in considerazione la ripartizione dei compiti educativi linsorgente avrebbe diritto ad una rendita maggiore (cfr. consid. 6).</w:t>
      </w:r>
    </w:p>
    <w:p>
      <w:r>
        <w:rPr>
          <w:b/>
        </w:rPr>
        <w:t>E. 30</w:t>
      </w:r>
    </w:p>
    <w:p>
      <w:r>
        <w:t>giorni dal momento in cui la decisione è passata in giudicato. 5 Sul condono è pronunciata una decisione.” E’ tuttavia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L’insorgente può pertanto chiedere il condono dell’importo da restituire tramite una richiesta scritta alla Cassa di compensazio-ne nei modi e tempi previsti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