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30.2015.26 vom 12. Juni 2014</w:t>
      </w:r>
    </w:p>
    <w:p>
      <w:r>
        <w:t>TI Tribunale d'appello, 2014-06-12, IT</w:t>
      </w:r>
    </w:p>
    <w:p>
      <w:r>
        <w:rPr>
          <w:b/>
        </w:rPr>
        <w:t xml:space="preserve">Quelle: </w:t>
      </w:r>
      <w:r>
        <w:t>https://mcp.opencaselaw.ch/entscheid/ti_gerichte_30.2015.26_d20140612</w:t>
      </w:r>
    </w:p>
    <w:p>
      <w:r>
        <w:t>FR: TI_GERICHTE 30.2015.26 du 12 juin 2014</w:t>
      </w:r>
    </w:p>
    <w:p>
      <w:r>
        <w:t>IT: TI_GERICHTE 30.2015.26 del 12 giugno 2014</w:t>
      </w:r>
    </w:p>
    <w:p>
      <w:pPr>
        <w:pStyle w:val="Heading2"/>
      </w:pPr>
      <w:r>
        <w:t>Regeste</w:t>
      </w:r>
    </w:p>
    <w:p>
      <w:r>
        <w:t>Restituzione della rendita di vecchiaia siccome calcolata erroneamente. Son date le condizioni per rivedere la decisione di fissazione della rendita,giacché manifestamente errata. Tempestività della richiesta di restituzione.Calcolo corretto. Domanda di condono è prematura,Cassa non ha ancora deciso</w:t>
      </w:r>
    </w:p>
    <w:p>
      <w:pPr>
        <w:pStyle w:val="Heading2"/>
      </w:pPr>
      <w:r>
        <w:t>Erwägungen</w:t>
      </w:r>
    </w:p>
    <w:p>
      <w:r>
        <w:rPr>
          <w:b/>
        </w:rPr>
        <w:t>E. 25</w:t>
      </w:r>
    </w:p>
    <w:p>
      <w:r>
        <w:t>cpv. 2 LPGA). Ritenuto, inoltre, che la richiesta di restituzione concerne il periodo dal 1° agosto 2014 al 30 settembre 2015, anche il termine relativo di 5 anni è stato rispettato (art. 25 cpv. 2 LPGA). 7.   Quanto all’importo complessivo da restituire, non contestato, esso ammonta a Fr. 2'552.- (doc. A). Dal nuovo calcolo effettuato dalla Cassa il 6 maggio 2015 (docc. 19-28) emerge che la somma dei redditi provenienti da attività lucrative ammonta a Fr. 1'671'100.-, che il fattore di rivalutazione è di 1.223, che la durata di contribuzione è di 44 anni, che gli anni di accredito per compiti educativi sono 9 (18 x ½) e che il reddito annuo medio (RAM) nel 2014 è quindi di Fr. 56'160.-. Stanti questi dati, l’importo mensile di diritto dell’assicurato a titolo di rendita semplice di vecchiaia doveva ammontare a Fr. 1'966.- dal 1° agosto 2014 ed a Fr. 1'974.- dal 1° gennaio 2015 (doc. 28). Considerato il pagamento retroattivo della rendita di vecchiaia di Fr. 2'228.- al mese dal 1° agosto al 31 dicembre 2014 (totale Fr. 11'140.-), di Fr. 2'237.- dal 1° gennaio al 30 aprile 2015 (totale Fr. 8'948.-) e di Fr. 2'012.- dal 1° maggio al 30 settembre 2015 (totale Fr. 10'060.-), paragonato al nuovo importo di spettanza dell’assicurato (dal 1° agosto al 31 dicembre 2014 = Fr. 9'830.- + dal 1° gennaio al 30 settembre 2015 = Fr. 17'766.-), la differenza di Fr. 2'552.- (Fr. 30'148.- - Fr. 27'596.-) chiesta in restituzione è pertanto senza dubbio corretta. 8.   Resta da esaminare la domanda di condono che l’assicurato, in applicazione dell’art. 3 cpv. 3 OPGA, chiede venga decisa dal TCA. Egli fa valere la sua buona fede e sostiene che la colpa dell’errore nella fissazione dell’ammontare del suo diritto alla rendita di vecchiaia è unicamente da attribuire alla Cassa stessa.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l’amministrazione non si è pronunciata sulla domanda di condono e quindi non si è espressa né sulla buona fede né sull’onere troppo grave, ritenendo di doversi pronunciare solo dopo la crescita in giudicato della decisione di restituzione (doc. A punto 8). Al riguardo, questo TCA rileva quanto segue. Innanzitutto, in assenza di una specifica decisione della Cassa, ritenuto il potere cognitivo limitato del Tribunale federale in caso di ricorso, per garantire alle parti un doppio grado di giudizio, è necessario che l’amministrazione si esprima per prima sul condono tramite un provvedimento impugnabile. Una decisione di questo Tribunale sarebbe quindi ora prematura. Inoltre, il TCA non potrebbe comunque pronunciarsi sulla domanda di condono dell’assicurato senza prima avere effettuato ulteriori accertamenti, segnatamente circa l’onere troppo grave che la restituzione della somma richiesta comporterebbe per il ricorrente, di modo che le condizioni per concedere il condono non possono essere considerate manifestamente adempiute. Nemmeno gli atti prodotti dall’interessato permettono di esprimersi circa la presenza di un onere finanziario gravoso in assenza, ad esempio, dell’ultima tassazione fiscale disponibile e di elementi certi inerenti la sostanza posseduta. Le parti, in applicazione del loro diritto di essere sentite, dovrebbero inoltre poter prendere posizione sul calcolo che il TCA dovrebbe effettuare. Infine, occorrerebbe comunque esaminare nel dettaglio anche l’adempimento della condizione della buona fede che il ricorrente invoca e che costituisce una condizione cumulativa, insieme all’onere troppo grave, per la concessione del condono. In tale contesto rientrerebbe pure l’esame della lagnanza sul presunto danno risultante dalla diminuzione della rendita attribuitagli, visto che l’assicurato ha scelto di prelevare il capitale della previdenza professionale piuttosto che riceverla sotto forma di rendita. Da quanto precede discende che, non essendo qui dati i presupposti per l’applicazione dell’art. 3 cpv. 3 OPGA, la domanda di condono formulata dal ricorrente dovrà essere decisa dalla Cassa di compensazione dopo che la presente decisione di restituzione sarà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