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30.2015.21 vom 24. November 1999</w:t>
      </w:r>
    </w:p>
    <w:p>
      <w:r>
        <w:t>TI Tribunale d'appello, 1999-11-24, IT</w:t>
      </w:r>
    </w:p>
    <w:p>
      <w:r>
        <w:rPr>
          <w:b/>
        </w:rPr>
        <w:t xml:space="preserve">Quelle: </w:t>
      </w:r>
      <w:r>
        <w:t>https://mcp.opencaselaw.ch/entscheid/ti_gerichte_30.2015.21_d19991124</w:t>
      </w:r>
    </w:p>
    <w:p>
      <w:r>
        <w:t>FR: TI_GERICHTE 30.2015.21 du 24 novembre 1999</w:t>
      </w:r>
    </w:p>
    <w:p>
      <w:r>
        <w:t>IT: TI_GERICHTE 30.2015.21 del 24 novembre 1999</w:t>
      </w:r>
    </w:p>
    <w:p>
      <w:pPr>
        <w:pStyle w:val="Heading2"/>
      </w:pPr>
      <w:r>
        <w:t>Regeste</w:t>
      </w:r>
    </w:p>
    <w:p>
      <w:r>
        <w:t>Decisione di restituzione di rendita x vedovanza ricevuta maggiorata a causa dell'errato computo dei periodi di contribuzione all'estero del marito affiliato esclusivamente all'estero. Tempestività della decisione di restituzione e importo richiesto. Domanda di condono davanti al TCA è prematura</w:t>
      </w:r>
    </w:p>
    <w:p>
      <w:pPr>
        <w:pStyle w:val="Heading2"/>
      </w:pPr>
      <w:r>
        <w:t>Erwägungen</w:t>
      </w:r>
    </w:p>
    <w:p>
      <w:r>
        <w:rPr>
          <w:b/>
        </w:rPr>
        <w:t>E. 42</w:t>
      </w:r>
    </w:p>
    <w:p>
      <w:r>
        <w:t>cons. 2b). 2.2.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l'assicuratore può tornare sulle decisioni o sulle decisioni su opposizione formalmente passate in giudicato se è provato che erano manifestamente errate e se la loro rettifica ha una notevole importanza. Dalla riconsiderazione (o riesame) va dunque distinta la revisione processuale delle decisioni amministrative. L'allora TFA (dal 1° gennaio 2007: Tribunale federale) ha stabilito che, in ambito di restituzione delle prestazioni, i principi applicabili al diritto precedentemente in vigore sono ancora attuali (STFA K 147/03 del 12 marzo 2004 = DTF 130 V 318).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cfr. pure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L'irregolarità deve essere manifesta. Il Tribunale federale ha precisato (STF 8C_ 883/2008 del 31 marzo 2009, consid. 4.1.2): "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Secondo la giurisprudenza del Tribunale federale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Occorre inoltre precisare che il Tribunale non può obbligare l'amministrazione ad entrare nel merito di una tale richiesta, come è del resto espressamente previsto all'art. 53 LPGA, poiché non esiste un diritto alla riconsiderazione di una decisione cresciuta in giudicato (STF 8C_334/2008 del 26 novembre 2008, consid. 3.1; STF U 403/06 del 9 ottobre 2007, consid. 8; DTF 133 V 50 consid. 4.1 pag. 52, 127 V 466 consid. 2c; 106 V 78 consid. 2 pag. 79). Secondo la dottrina tuttavia la decisione di procedere o meno in tal senso deve rispettare il principio dell'uguaglianza di trattamento e non essere arbitraria ( Kieser , ATSG-Kommentar, 2003, n. 22 ad art. 53). L ' amministrazione non è tenuta a riconsiderare una decisione, poiché essa ha unicamente la facoltà di procedere a un simile riesame nella misura in cui sono soddisfatte determinate condizioni; per contro né l ' assicurato né il giudice possono obbligarla a un tale passo (STF 8C_257/2011 del 14 giugno 2011, consid. 4; STF 8C_302/2007 del 4 agosto 2008, consid. 3; STF H 223/06 del 17 gennaio 2008, consid. 5; citata STF U 403/06, consid. 8; STF I 309/06 del 20 aprile 2007, consid. 3; DTF 133 V 50 consid. 4.1). Nella menzionata DTF 133 V 50, al considerando 4.2.2 il Tribunale federale ha pure statuito che una decisione con cui l'amministrazione rifiuta di entrare nel merito di una domanda di riesame non è impugnabile tramite la procedura di opposizione, in quanto una domanda di riconsiderazione può essere in ogni caso ripresentata in ogni tempo (citata STF U 403/06, consid.8). 2.3 .   In concreto, con decisione formale del 23 luglio 2015 (doc. 24) la Cassa di compensazione ha osservato che a seguito di un controllo interno era emerso che il calcolo effettuato nell’ambito dell’attribuzione di una rendita di vedovanza all'assicurata era errato, dato che gli anni dal 1971 al 1999 non potevano essere conteggiati al defunto marito quale periodo contributivo siccome egli aveva lavorato all’estero. La restituzione di quanto percepito in eccesso si imporrebbe quindi a seguito della scoperta dell'indebito ottenimento di una rendita per vedova più elevata di quanto di sua spettanza. A fronte di tale circostanza, l'amministrazione ha quindi calcolato la rendita per vedova che l'interessata ha percepito nel periodo dal 1° luglio 2010 al 31 luglio 2015 (Fr. 33'550.-) e l’importo di diritto nello stesso periodo (Fr. 3'966.-). Constatato così un indebito versamento giusta l'art. 25 LPGA, l'amministrazione ha chiesto all'assicurata la restituzione della differenza di Fr. 29'584.-. Nel proprio ricorso l'assicurata ha evidenziato che l’errore è stato commesso dalla Cassa stessa e ciò le ha pure comportato dei danni economici, perciò essa non è tenuta a restituire alcunché. 2.4.   Va innanzitutto rammentato che la Cassa di compensazione, avendo rilevato un caso di indebita percezione di prestazioni da parte della ricorrente, era tenuta ad emanare una decisione di restituzione, essendo adempiuti entrambi i presupposti dell'art. 53 LPGA per il riesame della precedente decisione formale di concessione della rendita per vedova. La decisione del 24 novembre 1999 (doc. 79) è infatti contraria alla legislazione in materia di rendite, visto che il marito della ricorrente era sì domiciliato in Svizzera (art. 1a cpv. 1 lett. a LAVS), ma con un’attività lavorativa salariata svolta in __________ per un datore di lavoro __________. Va al riguardo rilevato che l'affiliazione obbligatoria al sistema dell'assicurazione vecchiaia e superstiti può essere qualificata come automatica. Ciò significa che una persona che adempie una delle condizioni di assoggettamento, senza trovarsi in uno dei casi di esenzione, senza avere fatto uso della facoltà di chiederne l'esonero e senza che il diritto internazionale indichi un'altra soluzione, entra d'ufficio nel campo di applicazione personale del sistema, ossia, in altre parole, è assicurata obbligatoriamente. Non è quindi necessaria una manifestazione di volontà ( Greber/Duc/Scartazzini , Commentaire des articles 1 à 16 de la loi fédérale sur l'assurance-vieillesse et survivants (LAVS), 1997, n. 26 pag. 29 ad art. 1 LAVS; Käser , Unterstellung und Beitragswesen in der obligatorischen AHV, 1989, pag. 9). L'art. 1a cpv. 1 LAVS prevede tre condizioni alternative di assoggettamento obbligatorio e poiché l'affiliazione al regime dell'assicurazione vecchiaia e superstiti è individuale o personale, è sufficiente che una persona fisica adempia personalmente uno dei criteri di assoggettamento senza che un'esenzione o liberazione le sia applicabile ( Greber/Duc/Scartazzini , op. cit., n. 31 pag. 31 ad art. 1 LAVS). I due primi capoversi dell'art. 1a LAVS prevedono quanto segue: - una persona che adempie uno dei criteri di assoggettamento previsti al capoverso 1, - senza rientrare in un caso di eccezione (cpv. 1 lett. a e c), - senza avere domandato ed ottenuto la liberazione o l'esonero (cpv. 2 lett. b), - senza che il diritto internazionale - Convenzioni di sicurezza sociale concluse dalla Svizzera - non designi un altro diritto nazionale o non esenti l'interessato, è assicurata obbligatoriamente all'assicurazione vecchiaia e superstiti - ed anche all'assicurazione invalidità. Ciò che è determinante evidenziare per il caso in esame, è che i criteri di assoggettamento fissati all'art. 1a cpv. 1 LAVS sono alternativi . È dunque sufficiente adempierne uno (singolarmente il domicilio o l'attività lucrativa in Svizzera) ( Greber/Duc/ Scartazzini , op. cit., n. 82 e n. 83 pag. 52 ad art. 1 LAVS). In concreto è pacifico che il marito della ricorrente era domiciliato in Svizzera, ma svolgeva la sua attività all’estero. Da un canto, quindi, il coniuge dell’assicurata adempiva uno dei criteri di assoggettamento previsti al capoverso 1 dell’art. 1a cpv. 1 LAVS (domicilio in Svizzera). D’altro canto, però, sulla base della Convenzione tra la Confederazione Svizzera e la __________ relativa alla sicurezza sociale del __________ (__________) applicabile, di principio, fino al 31 maggio 2002 - e in seguito in virtù dell’Accordo bilaterale sulla libera circolazione delle persone (RS 0.142.112.681) e del regolamento (CE) n. 1408/71 (RS 0.831.109.268.1) in vigore, nei rapporti tra la Svizzera e l’Unione Europea, dal 1° giugno 2002 e sostituito dal 1° aprile 2012 dal regolamento (CE) n. 883/2004, ad ogni buon qui comunque non entranti in linea di conto ritenuto che il marito della ricorrente è deceduto nel 1999 -, egli era affiliato esclusivamente in __________ (cfr., per un caso analogo, la STCA 30.2013.15 del 4 luglio 2013 e la STCA 30.2011.30/31 del 19 ottobre 2011, consid. 5). Pertanto, non essendo il coniuge dell’assicurata affiliato alla LAVS svizzera e non potendo di conseguenza essergli computati periodi di contribuzione, nel calcolo della rendita di vedovanza spettante nel 1999 alla ricorrente non dovevano essere presi in considerazione gli accrediti per compiti educativi successivi alla nascita della figlia e per i 16 anni seguenti (dal 1974 al 1989). Fanno dunque stato, ai fini del calcolo della rendita di vedovanza dell’assicurata, unicamente i 2 anni e 2 mesi di contributi versati regolarmente dal marito in Svizzera negli anni 1963, 1964 e 1965 (doc. 61). A giusta ragione l’amministrazione ha pertanto riconsiderato il provvedimento amministrativo emesso nel 1999, essendo manifestamente errato e la sua modifica rivestendo d’altro canto un’importanza notevole, poiché ha per oggetto una prestazione periodica (DTF 119 V 475 consid. 1c; STF 9C_795/2009 del 21 giugno 2010, consid. 2.3). La richiesta di restituzione delle rendite per vedova versate in eccesso all'insorgente è quindi formalmente giustificata. Occorre dunque ora verificare la lamentela della ricorrente circa la correttezza, dal profilo giuridico, del principio della restituzione preteso dalla Cassa retroattivamente fino al 1° luglio 2010. 2.5.   La Cassa di compensazione si è accorta dell’errore nella determinazione dell’importo della rendita di vedovanza di spettanza della ricorrente quando nel maggio 2015 (doc. 44) quest’ultima ha postulato la rendita di vecchiaia ordinaria per sé stessa. In quell’occasione, l’assicurata ha infatti indicato che il coniuge ha lavorato in __________ fino al 4 ottobre 1999 (doc. 41). Ne segue che la decisione di restituzione del 23 luglio 2015 è tempestiva, poiché inoltrata entro il termine di un anno da quando l’amministrazione è venuta a conoscenza dell’errore (art. 25 cpv. 2 LPGA). Ritenuto inoltre che la richiesta di restituzione concerne il periodo dal 1° luglio 2010 al 31 luglio 2015, anche il termine relativo di 5 anni è stato rispettato (art. 25 cpv. 2 LPGA). 2.6.   Quanto all’importo complessivo da restituire, non contestato, esso ammonta a Fr. 29'584.- (doc. 24). Dal nuovo calcolo effettuato dalla Cassa nel 2015 (docc. 27-34) emerge che i “Periodi CH per la condizione di durata minima di contribuzione (DMC): 2 anni 02 mesi” (doc 29) e che l’importo mensile di diritto dell’assicurata a titolo di rendita per vedova doveva ammontare in realtà a Fr. 38.- nel 1999, a Fr. 58.- dal 1° giugno 2002, a Fr. 64.- nel 2010 e a Fr. 66.- dal 1° gennaio 2015 al 31 agosto 2015. Dopodiché, il suo diritto alla rendita semplice di vecchiaia ordinaria maturata con l’età di pensionamento è stato fissato in Fr. 694.- al mese dal 1° settembre 2015 (doc. 27). Considerato il pagamento retroattivo della rendita per vedovo di Fr. 539.- al mese nel 2010, di Fr. 548.- negli anni 2011 e 2012, di Fr. 553.- nel biennio 2013 e 2014 e di Fr. 556.- dal 1° gennaio al 31 luglio 2015, paragonato al nuovo importo di spettanza dell’assicurata, la differenza di Fr. 29'584.- chiesta in restituzione è pertanto corretta. 2.7.   Resta da esaminare la domanda di condono che l’assicurata, in applicazione dell’art. 3 cpv. 3 OPGA, chiede venga decisa dal TCA. Secondo l’art. 25 cpv. 1 seconda frase LPGA, la restituzione non deve essere chiesta se l’interessato era in buona fede e verrebbe a trovarsi in gravi difficoltà. A norma dell’art. 3 OPGA: " 1 L’ammontare della restituzione è stabilito mediante decisione. 2 Nella decisione di restituzione l’assicuratore indica la possibilità di chiedere il condono. 3 L’assicuratore decide di rinunciare alla restituzione se sono manifestamente date le condizioni per il condono.”. Per l’art. 4 OPGA: " 1 Se il beneficiario era in buona fede e si trova in gravi difficoltà, l’assicuratore rinuncia completamente o in parte alla restituzione delle prestazioni indebitamente concesse. 2 Determinante per il riconoscimento di una grave difficoltà è il momento in cui la decisione di restituzione passa in giudicato. 3 Le autorità cui sono state versate prestazioni in virtù dell’articolo 20 LPGA o delle disposizioni delle singole leggi non possono far valere una grave difficoltà. 4 Il condono è concesso su domanda scritta. La domanda, motivata e corredata dei necessari giustificativi, deve essere inoltrata entro 30 giorni dal momento in cui la decisione è passata in giudicato. 5 Sul condono è pronunciata una decisione.”. L’amministrazione ha evidenziato che,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(sentenza 9C_387/2011 del 25 luglio 2011; sentenza 8C_1031/2008 del 29 aprile 2009; sentenza I 121/07 del 16 gennaio 2008, sentenza 9C_233/2007 del 28 giugno 2007: “ Nach Art. 25 Abs. 1 ATSG sind unrechtmässig bezogene Leistungen zurückzuerstatten. Wer Leistungen in gutem Glauben empfangen hat, muss sie nicht zurückerstatten, wenn eine grosse Härte vorliegt. Über Rückforderung und - gegebenenfalls - Erlass derselben wird in der Regel in zwei Schritten verfügt (Art. 3 und 4 ATSV). Auf die Rückerstattung kann bereits im Rahmen der (ersten) Verfügung über die Rückforderung nur verzichtet werden, wenn offensichtlich ist, dass die Voraussetzungen für den Erlass gegeben sind ( Art. 3 Abs. 3 ATSV ). Der im Streit liegende Einspracheentscheid beschlägt nur die Frage der Rückforderung; in dessen Begründung heisst es, bei Eingang eines entsprechenden Gesuchs werde über den Erlass gesondert verfügt. Das kantonale Versicherungsgericht hat sich an den dadurch vorgegebenen Streitgegenstand gehalten und richtigerweise nichts zur Erlassfrage ausgeführt. Streitig und zu prüfen ist auch im letztinstanzlichen Verfahren allein die Frage der Rechtmässigkeit der Rückforderung an sich “). Nel caso di specie l’amministrazione non si è pronunciata sulla domanda di condono e quindi non si è espressa né sulla buona fede né sull’onere troppo grave, ritenendo di doversi pronunciare solo dopo la crescita in giudicato della decisione di restituzione (doc. A1 punto 9). Al riguardo, questo TCA rileva quanto segue. Innanzitutto, in assenza di una decisione in merito della Cassa, ritenuto il potere cognitivo limitato del Tribunale federale in caso di ricorso, per garantire alle parti un doppio grado di giudizio, è necessario che l’amministrazione si esprima sul condono tramite un provvedimento impugnabile. Una decisione di questo Tribunale sarebbe quindi ora prematura. Inoltre, il TCA non potrebbe comunque esprimersi in merito alla richiesta senza prima aver effettuato ulteriori accertamenti, segnatamente circa l’onere troppo grave, di modo che le condizioni per concedere il condono non possono essere considerate manifestamente adempiute. Gli atti prodotti dall’interessata non permettono di esprimersi circa la presenza di un onere finanziario gravoso in assenza, ad esempio, dell’ultima tassazione fiscale disponibile e di elementi certi inerenti la sostanza posseduta. Le parti, in applicazione del loro diritto di essere sentite, dovrebbero inoltre poter prendere posizione sul calcolo che il TCA dovrebbe effettuare. Infine, occorrerebbe comunque esaminare nel dettaglio anche l’adempimento della condizione della buona fede. Ne segue che, non essendo dati i presupposti per l’applicazione dell’art. 3 cpv. 3 OPGA, la domanda di condono va decisa dalla Cassa dopo che la presente decisione di restituzione sarà cresciuta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