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30.2014.18 vom 7. August 2013</w:t>
      </w:r>
    </w:p>
    <w:p>
      <w:r>
        <w:t>TI Tribunale d'appello, 2013-08-07, IT</w:t>
      </w:r>
    </w:p>
    <w:p>
      <w:r>
        <w:rPr>
          <w:b/>
        </w:rPr>
        <w:t xml:space="preserve">Quelle: </w:t>
      </w:r>
      <w:r>
        <w:t>https://mcp.opencaselaw.ch/entscheid/ti_gerichte_30.2014.18_d20130807</w:t>
      </w:r>
    </w:p>
    <w:p>
      <w:r>
        <w:t>FR: TI_GERICHTE 30.2014.18 du 7 août 2013</w:t>
      </w:r>
    </w:p>
    <w:p>
      <w:r>
        <w:t>IT: TI_GERICHTE 30.2014.18 del 7 agosto 2013</w:t>
      </w:r>
    </w:p>
    <w:p>
      <w:pPr>
        <w:pStyle w:val="Heading2"/>
      </w:pPr>
      <w:r>
        <w:t>Regeste</w:t>
      </w:r>
    </w:p>
    <w:p>
      <w:r>
        <w:t>Richiesta di restituzione. Rendita di vecchiaia calcolata senza tener conto del divorzio. Assicurato aveva informato correttamente. Cassa poteva effettuare la compensazione per i 5 anni precedenti la restituzione. Compensazione non possibile con la rendita futura senza calcolo del minimo vitale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cpv. 4 OPGA prevede che il condono è concesso su domanda scritta. La domanda motivata e corredata dei necessari giustificativi, deve essere inoltrata entro 30 giorni dal momento in cui la decisione è passata in giudicato.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