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30.2013.7 vom 27. Mai 2013</w:t>
      </w:r>
    </w:p>
    <w:p>
      <w:r>
        <w:t>TI Tribunale d'appello, 2013-05-27, IT</w:t>
      </w:r>
    </w:p>
    <w:p>
      <w:r>
        <w:rPr>
          <w:b/>
        </w:rPr>
        <w:t xml:space="preserve">Quelle: </w:t>
      </w:r>
      <w:r>
        <w:t>https://mcp.opencaselaw.ch/entscheid/ti_gerichte_30.2013.7</w:t>
      </w:r>
    </w:p>
    <w:p>
      <w:r>
        <w:t>FR: TI_GERICHTE 30.2013.7 du 27 mai 2013</w:t>
      </w:r>
    </w:p>
    <w:p>
      <w:r>
        <w:t>IT: TI_GERICHTE 30.2013.7 del 27 maggio 2013</w:t>
      </w:r>
    </w:p>
    <w:p>
      <w:pPr>
        <w:pStyle w:val="Heading2"/>
      </w:pPr>
      <w:r>
        <w:t>Regeste</w:t>
      </w:r>
    </w:p>
    <w:p>
      <w:r>
        <w:t>Condono della restituzione di una rendita per vedova percepita indebitamente. La buona fede della ricorrente, risposatasi e che aveva segnalato il nuovo matrimonio alla Cassa, con riferimento alla DTF 138 V 218 non può esserle riconosciuta</w:t>
      </w:r>
    </w:p>
    <w:p>
      <w:pPr>
        <w:pStyle w:val="Heading2"/>
      </w:pPr>
      <w:r>
        <w:t>Erwägungen</w:t>
      </w:r>
    </w:p>
    <w:p>
      <w:r>
        <w:rPr>
          <w:b/>
        </w:rPr>
        <w:t>E. 2</w:t>
      </w:r>
    </w:p>
    <w:p>
      <w:r>
        <w:t>Determinante per il riconoscimento di una grave difficoltà è il momento in cui la decisione di restituzione passa in giudicato.</w:t>
      </w:r>
    </w:p>
    <w:p>
      <w:r>
        <w:rPr>
          <w:b/>
        </w:rPr>
        <w:t>E. 2.5</w:t>
      </w:r>
    </w:p>
    <w:p>
      <w:r>
        <w:t>Il requisito della grave difficoltà ex art. 25 cpv. 1 LPGA è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(art. 4 cpv. 2 OPGA). Ai sensi dell ’art. 5 cpv. 1 OPGA la grave difficoltà è data quando le spese riconosciute a norma della LPC e le spese supplementari di cui al capoverso 4 superano i redditi determinanti secondo la LPC. 2.6.   Nel caso di specie l’insorgente è stata sposata con __________ con il quale ha avuto due gemelle il __________, dal mese di __________. Il __________ si è sposata con l’attuale marito, __________. Nella richiesta del 17 settembre 2008 tendente ad ottenere prestazioni sociali in seguito al decesso dell’ex-marito la ricorrente ha segnalato di essersi risposata il __________ (doc. 110). L’8 dicembre 2008 l’interessata ha scritto alla Cassa di compensazione per sollecitare l’emanazione di una decisione ed ha fissato un termine al 31 dicembre del medesimo anno “ pour le versement des rentes d’orphelin ” (doc. 107). Con decisione del 29 gennaio 2009, oltre alle rendite ordinarie semplici per orfane (di padre), riconosciute alle figlie __________ e __________, la CO 1 ha assegnato all’insorgente una rendita ordinaria per vedova (doc. 91). L’assicurata afferma, senza tuttavia fornire alcuna prova, di aver subito contattato telefonicamente l’amministrazione al fine di sincerarsi della correttezza della decisione per quanto concerneva il versamento della rendita vedovile. In sede di ricorso ribadisce il contatto telefonico con la Cassa “ al fine di assicurarsi di aver un diritto alla rendita contestata, ciò che le è stato confermato a più riprese ” (doc. I, pag. 16). L’insorgente, tuttavia, rappresentata dapprima da un’assicurazione di protezione giuridica (__________) ed in seguito da un avvocato, malgrado l’amministrazione sia in sede di decisione formale, sia in sede di decisione su opposizione, abbia sottolineato come non fossero state portate prove in merito a quanto sostenuto, neppure in sede di ricorso ha fornito le date in cui avrebbe chiamato la Cassa e/o i nomi dei funzionari con i quali avrebbe parlato, ma si è sempre limitata ad affermare genericamente di essersi informata telefonicamente presso la Cassa circa il diritto di ricevere la rendita vedovile.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concreto l’insorgente non ha fornito alcuna indicazione, neppure un indizio, circa quanto da lei asserito. Questo Tribunale evidenzia che, proprio perché la medesima insorgente afferma di aver avuto numerosi contatti (cfr. doc. I: “ […] ciò che le è stato confermato a più riprese […] ”), essa avrebbe potuto chiedere una conferma scritta in tal senso o perlomeno chiedere il nome dei funzionari che le avrebbero confermato la correttezza del versamento della rendita. Non avendo agito in tal senso, deve ora sopportarne le conseguenze. In assenza di qualsiasi indizio circa le date in cui sarebbero avvenute queste telefonate ed i nomi delle persone con cui l’interessata avrebbe parlato, questo TCA non può infatti effettuare accertamenti tendenti a verificare se quanto affermato dall’insorgente è realmente accaduto. Il lungo tempo trascorso, le numerose telefonate cui l’amministrazione deve rispondere quotidianamente, l’assenza di qualsiasi indicazione atta a ricostruire eventuali contatti con l’amministrazione, l’assenza, nel dossier, di qualsiasi nota circa eventuali contatti telefonici con la ricorrente ed infine la circostanza che la Cassa, perlomeno implicitamente, nega di aver fornito telefonicamente qualsiasi informazione errata, rendono impossibile effettuare accertamenti in tal senso. Ne segue che il TCA deve concludere che l’insorgente non ha mai ottenuto alcuna rassicurazione dall’amministrazione circa il suo diritto alla rendita vedovile. Con sentenza pubblicata in DTF 138 V 218, il TF in un caso relativo ad un condono dell’obbligo di restituire rendite per vedovo percepite indebitamente ha affermato che “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(consid. 10). ” L’Alta Corte ha rilevato: " (…) Im Übrigen änderte sich an diesem Ergebnis selbst dann nichts, wenn der Brief vom 7. Februar 2002 seine bestimmungsgemässe Empfängerin gefunden haben sollte, d.h. wenn der Meldepflicht hinsichtlich der Zivilstandsänderung seinerzeit nachgelebt worden wäre: Man kann als wiederum Verheirateter nicht gutgläubig über Jahre hinweg weiterhin eine Witwerrente beziehen, ohne bei der Ausgleichskasse je nachgefragt zu haben, ob die Anzeige der neuerlichen Eheschliessung eingegangen und die Weiterausrichtung der Rente tatsächlich rechtens sei. Für jedermann ist nämlich einsichtig, dass der neue Zivilstand den alten ersetzt, an welchen der Bezug der Witwerrente, allein schon dem Namen nach, gebunden war (vgl. RDAT 1999 I Nr. 70 S. 275, H 183/98 E. 4a). Es verhält sich nicht wesentlich anders als bei der auch nach dem Tod des Ehemannes (und der damit verbundenen Erhöhung des AHV-Rentenanspruchs) unverändert ausgerichteten Ergänzungsleistung (EL). In diesem Zusammenhang hat die Rechtsprechung den guten Glauben der nunmehr verwitweten Ehefrau beim unrechtmässigen Bezug der zu hohen EL-Betreffnisse ebenfalls verneint (Urteil des Eidg. Versicherungsgerichts P 18/75 vom 30. August 1976 E. 3, nicht publ. in: BGE 102 V 245)." Alla luce della giurisprudenza federale, la buona fede della ricorrente non può essere riconosciuta. Anche se la fattispecie giudicata dal TF è leggermente differente perché in concreto l’insorgente ha notificato il suo matrimonio già nella richiesta di prestazioni (mentre nel caso giudicato dall’Alta Corte l’assicurato si è risposato quando già beneficiava della rendita vedovile e non ha comprovato l’invio di uno scritto tramite il quale sosteneva di aver notificato il cambiamento di stato civile), d’altra parte, come rileva il Tribunale federale, l’interessata avrebbe dovuto comprendere che già solo per il fatto che si era risposata, non avrebbe avuto diritto alla rendita per vedova. Del resto, come emerge dallo scritto di sollecito dell’8 dicembre 2008 (doc. 107), la medesima ricorrente aveva inoltrato la domanda di prestazioni per ottenere la rendita per orfani in favore delle sue due figlie. In queste condizioni non occorre esaminare la seconda condizione (cumulativa) dell’onere troppo grave. La decisione su opposizione impugnata merita conferma mentre il ricorso va respinto. 2.7.   L’insorgente, a pag. 3 del suo ricorso, circa le prove da assumere scrive genericamente che “ per tutti i successivi punti: interrogatorio/audizione delle parti ” (doc. V). Il TCA rileva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9C_903/2011 consid. 6.3 del 25 gennaio 2013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(l’assicurata ha chiesto genericamente un interrogatorio o un’audizione delle parti [cfr. doc. V]), questo TCA rinuncia all’audizione della ricorrente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 ed a sentire la ricorrente.</w:t>
      </w:r>
    </w:p>
    <w:p>
      <w:r>
        <w:rPr>
          <w:b/>
        </w:rPr>
        <w:t>E. 3</w:t>
      </w:r>
    </w:p>
    <w:p>
      <w:r>
        <w:t>Le autorità cui sono state versate prestazioni in virtù dell’articolo 20 LPGA o delle disposizioni delle singole leggi non possono far valere una grave difficoltà.</w:t>
      </w:r>
    </w:p>
    <w:p>
      <w:r>
        <w:rPr>
          <w:b/>
        </w:rPr>
        <w:t>E. 4</w:t>
      </w:r>
    </w:p>
    <w:p>
      <w:r>
        <w:t>Il condono è concesso su domanda scritta. La domanda, motivata e corredata dei necessari giustificativi, deve essere inoltrata entro 30 giorni dal momento in cui la decisione è passata in giudicato.</w:t>
      </w:r>
    </w:p>
    <w:p>
      <w:r>
        <w:rPr>
          <w:b/>
        </w:rPr>
        <w:t>E. 5</w:t>
      </w:r>
    </w:p>
    <w:p>
      <w:r>
        <w:t>Sul condono è pronunciata una decisione.” L’insorgente sostiene di essere in buona fede, avendo segnalato nella richiesta di prestazioni di essersi risposata per la seconda volta il __________. Per cui non può esserle rimproverato una violazione del suo obbligo di informare. Inoltre la ricorrente evidenzia che la buona fede di un assicurato va tutelata, in applicazione dell’art. 9 Cost. fed., anche quando l’amministrazione formula una promessa o crea un’aspettativa in modo contrario alla legge. In effetti, secondo la giurisprudenza, di regola un'informazione erronea fornita da un’amministrazione è vincolante quando l'autorità, intervenendo in una situazione concreta nei confronti di persone determinate, era competente a rilasciarla, il cittadino non poteva riconoscerne l'inesattezza e, sempre che l'ordinamento legale non sia mutato nel frattempo, fidente nell'informazione ricevuta egli abbia preso delle disposizioni non reversibili senza pregiudizio (DTF 131 II 636 consid. 6.1, 129 I 170 consid. 4.1, 126 II 387 consid. 3a, 122 II 123 consid. 3b/cc, 121 V 66 consid. 2a; RAMI 2000 no. KV 126 pag. 223). 2.4.   In ambito di condono, relativamente alla buona fede, la giurisprudenza distingue la mancanza di coscienza dell’irregolarità commessa, dalla questione di sapere se, nelle circostanze concrete, l’interessato poteva invocare la buona fede o avrebbe dovuto, facendo prova dell’attenzione da lui esigibile, riconoscere l’errore di diritto commesso. La problematica relativa alla coscienza dell'irregolarità commessa è una questione di fatto, per contro quella concernente l'attenzione esigibile è di diritto (sentenza 8C_617/2009 del 5 novembre 2009, consid. 5.2; SVR 2007 IV Nr. 13 p.49, 2003 IV Nr. 4 p.10, 2002 EL Nr. 9 p.21; Pratique VSI 1994 p.126; DTF 122 V 221 = Pratique VSI 1996 p.269). La buona fede non è infatti compatibile con un comportamento di grave negligenza da parte dell'assicurato (Meyer-Blaser, Die Rückerstattung von Sozialversicherungsleistungen, in: RSJB 1995, p.481). Compete al giudice,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cfr. art. 31 LPGA) siano imputabili a comportamento doloso o a negligenza grave dell'interessato. Viceversa, l'assicurato può prevalersene quando l'atto o l'omissione colpevole siano costitutivi unicamente di una violazione lieve dell'obbligo di annunciare o di informare (sentenza 8C_617/2009 del 5 novembre 2009, consid. 5.2 e SVR 2007 IV Nr. 13 p.49 entrambe con riferimenti) oppure se non ha violato tale obbligo. Infatti, la buona fede presuppone che l'assicurato ignori che una prestazione gli è versata indebitamente. Di detta ignoranza egli non si può avvalere se la stessa è stata determinata da sua negligenza.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