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30.2013.34 vom 4. März 2014</w:t>
      </w:r>
    </w:p>
    <w:p>
      <w:r>
        <w:t>TI Tribunale d'appello, 2014-03-04, IT</w:t>
      </w:r>
    </w:p>
    <w:p>
      <w:r>
        <w:rPr>
          <w:b/>
        </w:rPr>
        <w:t xml:space="preserve">Quelle: </w:t>
      </w:r>
      <w:r>
        <w:t>https://mcp.opencaselaw.ch/entscheid/ti_gerichte_30.2013.34</w:t>
      </w:r>
    </w:p>
    <w:p>
      <w:r>
        <w:t>FR: TI_GERICHTE 30.2013.34 du 4 mars 2014</w:t>
      </w:r>
    </w:p>
    <w:p>
      <w:r>
        <w:t>IT: TI_GERICHTE 30.2013.34 del 4 marzo 2014</w:t>
      </w:r>
    </w:p>
    <w:p>
      <w:pPr>
        <w:pStyle w:val="Heading2"/>
      </w:pPr>
      <w:r>
        <w:t>Regeste</w:t>
      </w:r>
    </w:p>
    <w:p>
      <w:r>
        <w:t>Determinazione dello statuto contributivo di un lavoratore. Dipendenza economica ed organizzativa. Assenza di investimenti e di rischio d'incasso, non agendo a nome proprio e non emettendo fatture.Lavoratore dipendente.Cambiamento dello statuto contributivo. È data la riconsiderazione. Prescrizione?</w:t>
      </w:r>
    </w:p>
    <w:p>
      <w:pPr>
        <w:pStyle w:val="Heading2"/>
      </w:pPr>
      <w:r>
        <w:t>Erwägungen</w:t>
      </w:r>
    </w:p>
    <w:p>
      <w:r>
        <w:rPr>
          <w:b/>
        </w:rPr>
        <w:t>E. 7</w:t>
      </w:r>
    </w:p>
    <w:p>
      <w:r>
        <w:t>novembre 2008; STF H 180/06 e H 183/06 del 21 dicembre 2007). nel merito 2.   Oggetto del contendere è la qualifica dello statuto contributivo di RI 1 (dipendente oppure indipendente) per il lavoro svolto a favore della ditta TERZ 1 negli anni 2009, 2010 e 2011. 3.   Sono assicurate obbligatoriamente in conformità alla Legge federale sull'assicurazione per la vecchiaia e per i superstiti le persone fisiche che hanno il loro domicilio civile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w:t>
      </w:r>
    </w:p>
    <w:p>
      <w:r>
        <w:rPr>
          <w:b/>
        </w:rPr>
        <w:t>E. 9</w:t>
      </w:r>
    </w:p>
    <w:p>
      <w:r>
        <w:t>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 ' art. 11 LPGA considera datore di lavoro chi impiega salariati. Secondo l'art. 12 LPGA, è considerato lavoratore indipendente chi non consegue un reddito dall'esercizio di un'attività di salariato (cpv. 1). Un indipendente può essere contemporaneamente anche un salariato, se consegue un reddito per un lavoro dipendente (cpv. 2). 4.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È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(N. 1001 DSD). La LAVS presume che la persona che paga dei salari è un datore di lavoro ( Greber/Duc/Scartazzini , Commentaire des articles 1 à 16 de la loi fédérale sur l'assurance-vieillesse et survivants (LAVS), pag. 364, n. 4 ad art. 12 LAVS). 5.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H 322/03 dell '</w:t>
      </w:r>
    </w:p>
    <w:p>
      <w:r>
        <w:rPr>
          <w:b/>
        </w:rPr>
        <w:t>E. 11</w:t>
      </w:r>
    </w:p>
    <w:p>
      <w:r>
        <w:t>marzo 2005; STFA H 31/04 del 21 marzo 2005).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DTF 122 V 171 consid. 3a, pag. 172 consid. 3c e pag. 283 consid. 2a; DTF 119 V 161 consid. 2 e la giurisprudenza ivi citata). Per poter decidere si dovrà vedere quali sono gli elementi predominanti nel caso concreto (STFA H 59/00 del 18 settembre 2000). 6.   Secondo la giurisprudenza del TFA (ricapitolata in DTF 122 V 169 e DTF 122 V 284 consid. 2b; Pratique VSI 2001 pag. 252) i criteri caratteristici di un '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 ' attività, le spese generali incorse sono sopportate dall ' assicurato (RCC 1986 pag. 331 consid. 2d, RCC 1986 pag. 120 consid. 2b). Un altro indizio di un'attività lucrativa indipendente è l ' esercizio, a nome proprio e per proprio conto, contemporaneo di diverse attività per altrettante società, senza che vi sia un rapporto di dipendenza con le stesse (RCC 1982 pag. 176). Al riguardo, non è la possibilità giuridica di accettare dei lavori di diversi mandanti che è determinante, ma la situazione effettiva di ogni singolo mandato (RCC 1982 pag. 208). Si è in presenza di un ' attività dipendente quando le caratteristiche di un contratto di lavoro sono adempiute, vale a dire quando l ' assicurato fornisce un lavoro entro un termine prestabilito, è economicamente dipendente dal “datore di lavoro” e, durante l ' attività svolta, è integrato nell ' azienda di quest ' ultimo, e non può praticamente esercitare un'altra attività lucrativa ( Rehbinder , Schweizerisches Arbeitsrecht, 12a edizione, pag. 34 segg.; Vischer , Der Arbeitsvertrag, SPR VII/1, pag. 306 citati in: Pratique VSI 1996 pag. 258 consid. 3c). Costituiscono indizi in questo senso l ' 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13 marzo 2008, 30.2007.76; STCA del 1° febbraio 2008, 30.2008.20; Pratique VSI 1993 pag. 242 segg.; Greber/Duc/Scartazzini , Commentaire des articles 1 à 16 de la loi fédérale sur l'assurance-vieillesse et survivants (LAVS), N. 149 ad art. 9 LAVS, pag. 313). 7. La nostra Massima Istanza ha pure stabilito che la qualifica dell'assicurato come dipendente o indipendente non è conseguenza del fatto, puramente formale, della sua affiliazione avvenuta d'ufficio o su richiesta personale dell'interessato in una o nell'altra categoria. L'affiliazione di un assicurato, anche se formalmente confermata dalla Cassa di compensazione, come tale non lo qualifica definitivamente, poiché lo scopo principale dell'affiliazione è quello di assicurare la persona che esercita un'attività lucrativa e non di qualificarne lo statuto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Pratique VSI 1993 pag. 226 consid. 3c = DTF 119 V 165). Per questi motivi, un assicurato può essere qualificato simultaneamente come salariato per un lavoro e indipendente per un altro lavoro. In questi casi, per ogni reddito bisogna esaminare se proviene da un ' attività dipendente o no (Pratique VSI 1995 pag. 145 consid. 5a; DTF 104 V 127). 8. Nella più recente giurisprudenza, il TF ha avuto modo di rammentare che occorre tenere presente che la circostanza che un assicurato, all'inizio della sua attività indipendente, svolga un lavoro principalmente per un solo committente, è usuale (STF H 194/05 del 19 marzo 2007, consid. 7.1, nonché STF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Per quanto concerne l ' investimento, poco importante, in mezzi propri, il Tribunale federale ha già evidenziato che per natura certe attività, in particolare nel settore dei servizi, non necessitano di investimenti importanti. In tali casi, ai fini della qualifica dello statuto, va quindi posto l ' accento sul criterio della dipendenza organizzativo-lavorativa e non su quello del rischio aziendale (Pratique VSI 2001 pag. 55 consid. 6b pag. 60 con riferimenti; citata STF H 194/05, consid. 5.2). Infine, vanno considerate anche le esigenze di coordinazione di cui occorre tenere conto in relazione ad assicurati che esercitano contemporaneamente diverse attività lavorative per diversi o per il medesimo mandante o datore di lavoro (DTF 123 V 161 consid. 4a pag. 167; citata STF H 194/05, consid. 7.4). Se possibile va infatti evitato che diverse attività per il medesimo mandante o datore di lavoro, rispettivamente che la medesima attività per diversi mandanti o datori di lavoro, vengano qualificate in maniera differente, in parte a titolo dipendente ed in parte a titolo indipendente (DTF 119 V 161 consid. 3b pag. 164; citata sentenza H 194/05, consid. 7.4, STF H 12/04 del 17 febbraio 2005, consid. 3 e 4.2.3 con riferimenti). 9.   Nel caso di specie, alla luce della documentazione agli atti e della sopra citata giurisprudenza, la decisione della Cassa di ritenere RI 1, attivo quale autista, come dipendente della società TERZ 1 per il periodo dal 2009 al 2011 va tutelata, poiché gli elementi a favore di un'attività salariata sono nettamente predominanti rispetto a quelli che potrebbero far propendere per un'attività indipendente. Dalle tavole processuali emerge infatti chiaramente il rapporto di subordinazione di RI 1 nei confronti della ditta chiamata in causa. Il ricorrente è innanzitutto dipendente economicamente dal lavoro svolto per quest'ultima. I redditi percepiti dal 2009 al 2011, che nel corso del tempo hanno subìto un notevole incremento (Fr. 10'835.- nel 2009, Fr. 23'700.- nel 2010 e Fr. 33'000.- nel 2011, cfr. doc. 34), se paragonati alla cifra d'affari totale netta incassata ogni anno (Fr. 20'565.- nel 2009, Fr. 31'630.- nell'anno 2010 e Fr. 39'600.- nel 2011, doc. 36) risultano infatti costituire la sua maggiore entrata annua, nel senso che è evidente che il lavoro svolto per la società chiamata in causa rappresentava la principale fonte di guadagno del ricorrente (pari al 53% nel 2009, al 75% nel 2010 e a ben l'83% nell'anno 2011). Pertanto, seppure l'assicurato possa avere avuto altri committenti - tuttavia senza comprovare questa circostanza a mano di specifica documentazione, quale delle fatturazioni o altri giustificativi, ma limitandosi a semplicemente affermarne l'esistenza -, va da sé che, dati alla mano, quanto egli ha incassato fornendo le proprie prestazioni per altri clienti costituisce soltanto la metà delle sue entrate il primo anno, un quarto nel secondo anno e poco più del 15% nel terzo anno revisionato. Anche dal profilo organizzativo l'insorgente era subordinato alla parte chiamata in causa. Non va infatti dimenticato che nell'attività di trasporto di allievi era evidentemente la TERZ 1 che, ottenuto il mandato di trasportare questi ragazzi, ne organizzava i relativi trasporti e quindi anche gli orari di viaggio, di cui poi informava l'autista. Circa l'esecuzione del mandato, il lavoratore si atteneva alle direttive dell'impresa, la quale gli indicava il luogo di lavoro ed il tipo di prestazione da fornire, che poi l'interessato eseguiva. Di conseguenza, l'assicurato non poteva certo agire autonomamente nell'espletamento della sua attività, ma aveva bisogno e quindi sottostava alle consegne dategli dall'organizzatore dei trasporti e si limitava così ad eseguirle. Questi trasporti, poi, avvenivano con il pulmino messo a disposizione dalla TERZ 1 stessa, quindi il ricorrente forniva le proprie prestazioni facendo capo a mezzi di terzi e non utilizzando i propri mezzi per trasportare gli allievi. Anche perché, dagli accertamenti effettuati dalla Cassa di compensazione, non risulta che RI 1 disponesse di un veicolo adibito al trasporto di persone che fosse diverso da una autovettura e da un motoveicolo (doc. 37). Il ricorrente, peraltro, nemmeno ha contestato questa circostanza, nel senso che non è stato in grado di spiegare in quale modo attuava i mandati ottenuti dalla società in questione né quelli ricevuti da altri committenti. Egli non ha neppure comprovato di avere effettuato degli investimenti per potere svolgere la sua attività di autista per conto della TERZ 1, dato che il veicolo per trasportare gli allievi gli veniva messo a disposizione dalla stessa società chiamata in causa. Questo elemento caratterizza un'attività dipendente, dato che l'assicurato non ha dovuto sopportare un rischio particolare legato all'esercizio della sua attività di autista. Anche nei rapporti verso terzi l'autista non aveva voce in capitolo, dato che i contratti con i clienti erano conclusi dalla TERZ 1 ed il lavoratore si limitava a garantirne l'esecuzione, mentre il pagamento delle sue prestazioni avveniva fra il committente e la predetta società. Il rischio d'incasso apparteneva pertanto a quest'ultima ditta. RI 1 non agiva in nome e per conto proprio, ma per conto dell'impresa chiamata in causa, la quale era l'unica responsabile dell'eventuale cattiva esecuzione del lavoro verso i clienti finali e che, semmai, si rifaceva poi sull'esecutore stesso. Il lavoratore non ha emesso alcuna fattura nei confronti dei clienti della ditta TERZ 1, ma ha sempre e soltanto chiesto il pagamento delle sue prestazioni a quest'ultima e quindi non sopportava un rischio economico specifico analogo a quello di un imprenditore. Il ricorrente era pertanto estraneo al rapporto committente – prestatore dell'opera e qualora la predetta ditta non avesse incassato dai clienti quanto di sua spettanza, egli avrebbe avuto come unico interlocutore (e debitore dell'importo per il lavoro svolto) quest'ultima, trovandosi nella medesima posizione dei lavoratori dipendenti che non debbono recuperare i loro crediti dai diversi (e spesso numerosi) clienti dell'azienda incaricante, ma hanno un unico e solo debitore a cui riferirsi, ossia il datore di lavoro. Quanto all' aspetto remunerativo , va qui rilevato che il ricorrente ha fatturato le proprie prestazioni offerte alla ditta in questione soltanto in tre occasioni, ovvero al 31 dicembre 2009 (doc. 34) per quello stesso anno chiedendo Fr. 10'835.-, al 31 dicembre 2010 (doc. 34) per l'" attività quale autista indipendente (affiliato AVS) presso la vostra ditta, durante l'anno 2010 ", per un prezzo netto di Fr. 23'700.- ed al 31 dicembre 2011 (doc. 34), utilizzando sempre la medesima dicitura, fatturando Fr. 33'000.-. Questi importi sono stati regolarmente contabilizzati nel conto 40001 "Personale terzi", come risulta dall'estratto conto contabile del conto 40001 di ogni anno (docc. 20, 25 e 30). Ora, in calce a queste fatture indirizzate alla ditta chiamata in causa, figura che il pagamento del dovuto avveniva con " acconto prestazioni mensili " versato sul suo conto bancario. In effetti, dagli estratti conto contabile del conto 10615 "C/C RI 1" prodotti dalla Cassa di compensazione attinenti alla società TERZ 1 emerge che, per quanto concerne l' anno 2009 (doc. 20), il 28 maggio 2009 il lavoratore ha ricevuto Fr. 1'400.-, il 30 giugno Fr. 1'800.-, il 29 settembre Fr. 1'700.-, il 28 ottobre l'importo di Fr. 1'800.- e così pure il 30 novembre, mentre il 21 dicembre, a saldo delle prestazioni del 2009, l'ammontare di Fr. 2'335.-. Per l' anno 2010 (doc. 25), il conto 10615 indica che da gennaio a dicembre, ogni fine mese il lavoratore era retribuito dalla summenzionata società con versamenti definiti " acconto prestaz. ", che andavano dai Fr. 900.- e Fr. 1'000.- incassati a gennaio rispettivamente a febbraio, ai Fr. 1'700.- di luglio ed ai Fr. 2'000.- ricevuti per aprile, maggio, agosto ed ottobre, per finire con Fr. 2'200.- per giugno, Fr. 2'400.- per marzo e Fr. 2'500.- per settembre, novembre e dicembre. Quindi, perfino durante l'estate, quando l'attività di trasporto degli allievi dovrebbe essere ferma, l'assicurato ha (comunque) ricevuto un acconto sulle sue prestazioni, alla stessa stregua di un lavoratore dipendente che ogni fine mese riceve il compenso per la sua attività e che non ha dunque alcun rischio economico. 10.   In conclusione, stanti le argomentazioni esposte, secondo questo Tribunale va ritenuto che nei rapporti con la società chiamata in causa gli elementi a favore di un'attività dipendente, nel caso di specie, siano più numerosi rispetto a quelli a favore di un'attività indipendente. Per cui la qualifica effettuata dalla Cassa per l'attività svolta da RI 1 nel 2009, nel 2010 e nel 2011 in favore della TERZ 1 va confermata. Va ora esaminato se l'amministrazione poteva modificare lo statuto del ricorrente, affiliato quale indipendente dal 2003 (doc. 35), a titolo retroattivo (per gli anni 2009-2011). 11.   I l TFA (dal 1° gennaio 2007: TF)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Greber/Duc/Scartazzini , Commentaire des articles 1 à 16 de la loi fédérale sur l'assurance-vieillesse et survivants (LAVS), n. 121 seg. ad art. 5 , pag. 183 seg., in particolare n. 127 pag. 185). Va inoltre rammentato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Va qui rammentato che una decisione è manifestamente errata quando non vi è alcun dubbio che la stessa fosse sbagliata, ossia quando fosse possibile concludere unicamente in tal senso (sentenza H 97/03 del 10 settembre 2003: “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12.   In concreto la Cassa ha già stabilito, con decisioni formali cresciute in giudicato, i contributi dovuti nel 2009 e nel 2010 da RI 1 come indipendente (doc. 35). Per il 2011, in assenza di una decisione definitiva di fissazione dei contributi, la Cassa poteva, come ha fatto, esaminare liberamente la questione dello statuto lavorativo del ricorrente. Per quell'anno la qualifica di dipendente va pertanto confermata. Per contro, circa il 2009 ed il 2010, in presenza di decisioni di fissazione dei contributi cresciute in giudicato e ritenuto come l'insorgente avesse espressamente rilevato di aver già pagato i contributi nella sua qualità di indipendente, l'amministrazione avrebbe dovuto esaminare se nel caso di specie fossero dati i presupposti per un riesame od una revisione delle decisioni. Come questo TCA ha potuto rilevare nella recente STCA 30.2013.20 del 19 settembre 2013, malgrado in numerose sentenze abbia già più volte indicato come procedere in caso di modifica dello statuto contributivo a titolo retroattivo (cfr., fra le tante: sentenza 30.2012.12 dell'8 ottobre 2012, consid. 2.12), è solo dopo la risposta di causa, con le nuove prove (doc. V), che la Cassa ha brevemente esaminato se in concreto trovano applicazione le norme sulla revisione o sul riesame della decisione, affermando di ritenere dati i presupposti per procedere ad un riesame delle decisioni già cresciute in giudicato, poiché manifestamente errate e la loro rettifica ha una notevole importanza. L 'a mministrazione può infatti riconsiderare una decisione passata formalmente in giudicato e sulla quale un'autorità giudiziaria non si è pronunciata nel merito, a condizione che sia senza dubbio errata e la sua rettifica rivesta un ' 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 883/2008 del 31 marzo 2009, consid. 4.1.2) .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Nell'evenienza concreta, questo Tribunale ritiene che siano stati adempiuti i presupposti della riconsiderazione contemplati dall'art. 53 cpv. 2 LPGA. Le decisioni del 14 giugno 2011 e del 14 febbraio 2012 che hanno fissato i contributi dovuti dal ricorrente come persona esercitante un'attività lucrativa indipendente per gli anni 2009 e 2010 (doc. 35) sono infatti manifestamente errate, poiché la Cassa non ha considerato i redditi da esso conseguiti alla stregua di salario versato dal datore di lavoro TERZ 1. Inoltre, la loro rettifica riveste una notevole importanza circa la quantificazione dei contributi dovuti dall'assicurato per gli anni 2009 e 2010. Va pure rilevato che la Cassa ha giustamente indicato nella decisione su opposizione i motivi che l'hanno portata ad annullare e sostituire le precedenti decisioni di fissazione dei contributi per gli stessi anni 2009 e 2010. Infatti, specificando che i redditi versati dalla TERZ 1 andavano qualificati come salario assoggettato al prelievo di contributi paritetici, in tal modo l'amministrazione ha sufficientemente indicato il perché le decisioni di fissazione dei contributi quale indipendente del 2011 e del 2012 erano senza dubbio errate e potevano quindi essere riconsiderate in virtù dell'art. 53 cpv. 2 LPGA. Non va qui tralasciato di osservare che, proprio per una maggiore chiarezza a favore dei diretti interessati per giustificare ulteriormente la legittimità di una revisione e/o riconsiderazione da parte della Cassa di compensazione, tanto più una spiegazione è dettagliata - non solo a parole ma, se necessario, anche a mezzo degli importi che vengono aggiunti e/o modificati - quanto essa può tornare utile alle parti in causa. In queste circostanze, le condizioni dell'art. 53 cpv. 2 LPGA sono qui adempiute. Pertanto, la Cassa di compensazione era legittimata a rivedere le sue decisioni di fissazione dei contributi e ad emanare la decisione formale del 29 aprile 2013, che va dunque ritenuta a tutti gli effetti quale oggetto in discussione. Ciò stante, vanno dunque confermate le riprese per salari non notificati non solo per l'anno 2011 per il quale l'amministrazione non ha ancora emesso una decisione definitiva di fissazione dei contributi, ma anche per quanto concerne gli anni 2009 e 2010, essendo dati i presupposti per una riconsiderazione delle decisioni di fissazione dei contributi quale indipendente. 13.   Infine, contrariamente a quanto rilevato dal ricorrente, non va imputata una prescrizione del diritto della Cassa di compensazione di pretendere i contributi sociali per gli anni 2009-2011. Infatti, sono soltanto i contributi il cui importo non è stato fissato mediante decisione formale entro un termine di cinque anni dalla fine dell'anno civile per il quale sono dovuti che non possono più essere né pretesi né pagati (art. 16 cpv. 1 LAVS), ciò che, evidentemente, non è qui il caso, visto che la decisione di ripresa dei salari è del 2013 ed il periodo oggetto della revisione del datore di lavoro inizia nel 2008, ossia proprio 5 anni prima. Il ricorrente, poi, otterrà - se del caso - in restituzione dalla Cassa di compensazione, come da essa stessa riconosciuto, i contributi versati in eccesso come persona indipendente. Al riguardo va osservato che il diritto alla restituzione dei contributi indebitamente pagati si estingue un anno dopo che la persona tenuta a pagare i contributi ha avuto conoscenza dell'indebito pagamento, ma in ogni caso cinque anni dopo la fine dell'anno civile in cui ha avuto luogo il pagamento indebito (art. 16 cpv. 3 LAVS). Copia della sentenza va intimata anche al datore di lavoro quale parte cointeressata (STF H 194/05 del 19 marzo 2007, consid. 3.4) e chiamata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