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30.2012.12 vom 8. Oktober 2012</w:t>
      </w:r>
    </w:p>
    <w:p>
      <w:r>
        <w:t>TI Tribunale d'appello, 2012-10-08, IT</w:t>
      </w:r>
    </w:p>
    <w:p>
      <w:r>
        <w:rPr>
          <w:b/>
        </w:rPr>
        <w:t xml:space="preserve">Quelle: </w:t>
      </w:r>
      <w:r>
        <w:t>https://mcp.opencaselaw.ch/entscheid/ti_gerichte_30.2012.12</w:t>
      </w:r>
    </w:p>
    <w:p>
      <w:r>
        <w:t>FR: TI_GERICHTE 30.2012.12 du 8 octobre 2012</w:t>
      </w:r>
    </w:p>
    <w:p>
      <w:r>
        <w:t>IT: TI_GERICHTE 30.2012.12 del 8 ottobre 2012</w:t>
      </w:r>
    </w:p>
    <w:p>
      <w:pPr>
        <w:pStyle w:val="Heading2"/>
      </w:pPr>
      <w:r>
        <w:t>Regeste</w:t>
      </w:r>
    </w:p>
    <w:p>
      <w:r>
        <w:t>Affiliazione come dipendente di una collaboratrice domestica. Modifica dello statuto contributivo (da senza attività lucrativa a dipendente). Eredi rispondono dei contributi dovuti dal de cujus (in casu: datrice di lavoro). Trasmissione atti alla Cassa per decisione sul condono</w:t>
      </w:r>
    </w:p>
    <w:p>
      <w:pPr>
        <w:pStyle w:val="Heading2"/>
      </w:pPr>
      <w:r>
        <w:t>Erwägungen</w:t>
      </w:r>
    </w:p>
    <w:p>
      <w:r>
        <w:rPr>
          <w:b/>
        </w:rPr>
        <w:t>E. 11</w:t>
      </w:r>
    </w:p>
    <w:p>
      <w:r>
        <w:t>cpv. 1 LAVS (consid. 2a), mentre l’art. 40 cpv. 1 OAVS è applicabile ai soli contributi paritetici (cfr. consid. 2b; cfr. anche marg. n. 3043 delle direttive sulla riscossione dei contributi, DRC). A questo proposito l’art. 14 cpv. 4 lett. d LAVS, nel tenore in vigore dal 1° gennaio 2003, prevede che il Consiglio federale emana prescrizioni sul condono del pagamento di contributi arretrati, anche in deroga all’articolo 24 LPGA. In virtù della citata delega legislativa, l’Esecutivo federale ha emanato l’art. 40 OAVS (cfr. anche DTF 113 V 248, consid. 2b, pag. 251, nonché, per l’art. 14 cpv. 4 lett. d LAVS in vigore precedentemente: Greber, Duc, Scartazzini, Commentaire des articles 1 à 16 de la loi fédérale sur l’assurance-vieillesse et survivants [LAVS], Basilea e Francoforte sul Meno, 1997, pag. 375, nota 11). Per l’art. 40 cpv. 1 OAVS, alle persone che potevano ritenere in buona fede di non dovere i contributi loro reclamati può essere condonato tutto il debito o parte di esso, quando il pagamento dei contributi costituisca per esse un onere troppo grave avuto riguardo alle condizioni economiche. A norma dell’art. 40 cpv. 2 OAVS il condono è accordato dalla cassa di compensazione a domanda scritta della persona tenuta a pagare i contributi arretrati. La domanda dev’essere motivata e presentata alla cassa di compensazione entro 20 giorni dalla notificazione dell’ordine di pagamento. Il cpv. 3 prevede che se le condizioni indicate nel capoverso 1 sono adempite in modo evidente, la cassa di compensazione può accordare il condono anche di moto proprio. Nel caso di specie la Cassa si è espressa sulla questione del condono in maniera contraddittoria (prendendo atto della buona fede di __________ ma affermando che avrebbe dovuto chiedere a PI 1 ulteriore documentazione) e direttamente nella decisione su opposizione, senza emanare prima una decisione formale e senza esaminare la condizione dell’onere troppo gravoso. Tutto ben considerato, visto il contenuto della decisione impugnata e allo scopo di evitare di privare gli insorgenti di un grado di impugnazione, questo TCA ritiene corretto, relativamente alla sola problematica del condono, trattare la decisione su opposizione del 22 febbraio 2012 alla stregua di una decisione formale ex art. 49 LPGA e quindi invitare l’amministrazione ad emanare una decisione su opposizione su questo tema specifico del condono. 2.16.   Alla luce di tutto quanto sopra esposto la decisione impugnata merita conferma, mentre il ricorso va respinto. L’incarto va trasmesso all’amministrazione per i suoi incombenti.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