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30.2011.3 vom 16. März 2011</w:t>
      </w:r>
    </w:p>
    <w:p>
      <w:r>
        <w:t>TI Tribunale d'appello, 2011-03-16, IT</w:t>
      </w:r>
    </w:p>
    <w:p>
      <w:r>
        <w:rPr>
          <w:b/>
        </w:rPr>
        <w:t xml:space="preserve">Quelle: </w:t>
      </w:r>
      <w:r>
        <w:t>https://mcp.opencaselaw.ch/entscheid/ti_gerichte_30.2011.3</w:t>
      </w:r>
    </w:p>
    <w:p>
      <w:r>
        <w:t>FR: TI_GERICHTE 30.2011.3 du 16 mars 2011</w:t>
      </w:r>
    </w:p>
    <w:p>
      <w:r>
        <w:t>IT: TI_GERICHTE 30.2011.3 del 16 marzo 2011</w:t>
      </w:r>
    </w:p>
    <w:p>
      <w:pPr>
        <w:pStyle w:val="Heading2"/>
      </w:pPr>
      <w:r>
        <w:t>Regeste</w:t>
      </w:r>
    </w:p>
    <w:p>
      <w:r>
        <w:t>Richiesta di affiliazione per un artigiano che lavora sostanzialmetne per un unico committente da cui percepisce quasi il 100% degli introiti. Respinta</w:t>
      </w:r>
    </w:p>
    <w:p>
      <w:pPr>
        <w:pStyle w:val="Heading2"/>
      </w:pPr>
      <w:r>
        <w:t>Erwägungen</w:t>
      </w:r>
    </w:p>
    <w:p>
      <w:r>
        <w:rPr>
          <w:b/>
        </w:rPr>
        <w:t>E. 2</w:t>
      </w:r>
    </w:p>
    <w:p>
      <w:r>
        <w:t>e la giurisprudenza ivi citata). Per poter decidere si dovrà vedere quali sono gli elementi predominanti nel caso concreto (sentenza H 59/00 del 18 settembre 2000). 5.   Secondo la giurisprudenza del TF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Greber/Duc/Scartazzini , Commentaire des articles 1 à 16 de la loi fédérale sur l'assurance-vieillesse et survivants (LAVS), pag. 313, n. 149 ad art. 9 LAVS).</w:t>
      </w:r>
    </w:p>
    <w:p>
      <w:r>
        <w:rPr>
          <w:b/>
        </w:rPr>
        <w:t>E. 2.4</w:t>
      </w:r>
    </w:p>
    <w:p>
      <w:r>
        <w:t>e 2.5): " Gemäss Art. 49 ATSG hat der Versicherungsträger über Leistungen, orderungen und Anordnungen, die erheblich sind oder mit denen die betroffene Person nicht einverstanden ist, schriftlich Verfügungen zu erlassen (Abs. 1). Dem Begehren um Erlass einer Feststellungsverfügung ist zu entsprechen, wenn die Gesuchstellende Person ein schützenswertes Interesse glaubhaft macht (Abs. 2).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Bei Verfügungen über das AHV-Beitragsstatut bejaht die Gerichtspraxis ein Feststellungsinteresse bei komplizierten Verhältnissen, wo der mit der Abrechnung über paritätische Beiträge verbundene Arbeitsaufwand oft nur dann zumutbar ist, wenn bereits feststeht, dass eine unselbstständige Erwerbstätigkeit ausgeübt wird und die Abrechnungs- und Beitragszahlungspflicht der als Arbeitgeber oder Arbeitgeberin angesprochenen Person erstellt ist. Für die Bejahung eines schutzwürdigen resp. schützenswerten Interesses im dargelegten Sinne sprechen u.a. die grosse Zahl von betroffenen Versicherten und der Umstand, dass die Rechtsfrage nach dem Beitragsstatut wegen besonderer Verhältnisse neuartig ist … Diese Rechtsprechung hat grundsätzlich auch unter der Herrschaft von Art. 49 Abs. 2 ATSG Gültigkeit … Eine Gerichtspraxis ist u.a. zu ändern, wenn sie als unrichtig erkannt und die neue Lösung besserer Erkenntnis der ratio legis entspricht oder den veränderten äusseren Verhältnissen oder gewandelten Rechtsanschauungen besser Rechnung trägt … Versicherte haben keinen Anspruch darauf, dass eine Ausgleichskasse ihr Beitragsstatut in Bezug auf die Tätigkeit für eine ihr als Selbstständigerwerbender angeschlossene natürliche oder juristische Person verbindlich festlegt, allenfalls durch eine Verfügung über paritätische Beiträge auf den bezogenen Entgelten. Daran ändert nichts, dass ein solcher Verwaltungsakt grundsätzlich auch dem oder den davon betroffenen Arbeitnehmern zu eröffnen ist und diese ein selbstständiges Einsprache- und Beschwerderecht haben Entscheidend ist, dass Arbeitnehmer weder abrechnungs- noch beitragszahlungspflichtig sind und somit in keinem oder zumindest nicht in einem direkten Rechtsverhältnis zur Ausgleichskasse des Arbeitgebers stehen. Dies spricht umgekehrt für ein schützenswertes Interesse an einer einsprachefähigen Verfügung und allenfalls an einem beschwerdefähigen Einspracheentscheid, wenn die zuständige Ausgleichskasse das Gesuch einer versicherten Person um Anschluss als Selbstständigerwerbender und Eintrag im Register gänzlich oder in Bezug auf eine oder mehrere bestimmte Tätigkeiten ablehnen will. Ebenfalls kann in der Regel nur so dem berechtigten Interesse des Gesuchstellers an der rechtskräftigen Entscheidung über sein Beitragsstatut innert nützlicher Frist genügend Rechnung getragen werden. Diesem berechtigten Anliegen widerspricht, warten zu müssen, bis in einem unter Umständen ein Jahr oder noch länger dauernden Verfahren über paritätische Beiträge (auch) darüber entschieden wird. … Es kann offen bleiben, ob die dargelegten Gründe in jedem Fall ein schützenswertes Interesse an einer Feststellungsverfügung im Sinne von Art. 49 Abs. 2 ATSG zu begründen vermögen. Entscheidender Gesichtspunkt ist, dass das Gesuch um Anschluss und Registrierung als Selbstständigerwerbender nicht auf einen reinen Feststellungsentscheid abzielt. Vielmehr will die versicherte Person in ein Rechtsverhältnis mit der (zuständigen) Ausgleichskasse treten im Hinblick auf die Entrichtung persönlicher Beiträge, wozu sie gleichzeitig gesetzlich verpflichtet und berechtigt ist. Wird ein entsprechendes Gesuch abgelehnt, ist dieser Entscheid Rechtsgestaltender Natur im Sinne von Art. 5 Abs. 1 lit. a oder c VwVG und nicht bloss ein reiner Feststellungsentscheid. Zu beachten ist sodann, dass die oder eine zuständige Ausgleichskasse ( Art. 64 AHVG und Art. 117 ff. AHVV ) bei gänzlicher oder teilweiser Ablehnung eines Anschlussgesuchs, weil sie die versicherte Person als unselbstständigerwerbend oder bestimmte ihrer Tätigkeiten als unselbstständig erachtet, nicht die Möglichkeit hat, eine Verfügung über paritätische Beiträge zu erlassen oder eine solche von der Ausgleichskasse des anzusprechenden Arbeitgebers zu erwirken (vgl. ZAK 1986 S. 574 Erw. 1b). Umgekehrt ist ein die paritätische Beitragspflicht des angesprochenen Arbeitgebers verneinender rechtskräftiger Entscheid für die zuständige Ausgleichskasse des mitbetroffenen "Arbeitnehmers" verbindlich. Diese Rechtslage spricht ebenfalls für den rechtsgestaltenden Charakter des Entscheids der Ausgleichskasse, das Anschlussgesuch abzuweisen. In Änderung der Rechtsprechung gemäss den in Erw. 2.3 erwähnten Urteilen A. vom 24. Februar 2003 (H 245/01), F. vom 8. Juli 1999 (H 187/99) und Z. vom 30. August 1985 (ZAK 1986 S. 48) hat daher eine Ausgleichskasse bei Ablehnung des Gesuchs einer versicherten Person um Anschluss als Selbstständigerwerbender und Eintrag im Register eine einsprachefähige Verfügung und gegebenenfalls einen beschwerdefähigen Einspracheentscheid zu erlassen ( Art. 49 Abs. 1, Art. 52 Abs. 2 und Art. 56 Abs. 2 ATSG ). Diese sind, soweit bekannt, grundsätzlich auch dem oder den allenfalls abrechnungs- und beitragszahlungspflichtigen Arbeitgebern zu eröffnen (vgl. EVGE 1957 S. 103 [Beiladung zum verwaltungsgerichtlichen Beschwerdeverfahren])." Come indicato dal TF le decisioni relative all’affiliazione di un assicurato devono di principio pure essere notificate, nella misura in cui siano noti, anche al datore di lavoro o eventualmente a chi è tenuto a occuparsi della contabilità o del pagamento dei contributi (DTF 132 V 262 consid. 2.4.1, 2.4.2 e 2.5). Nel caso in specie il rifiuto di affiliazione come indipendente é stato emesso successivamente alla nuova giurisprudenza federale (con decisione formale soggetta ad opposizione), conformemente alla nuova prassi. Di conseguenza la decisione resa su opposizione è impugnabile a questo TCA. Il gravame é quindi ricevibile. Nel merito 3.   Sono assicurate obbligatoriamente in conformità della legge federale sull'assicurazione per la vecchiaia e per i superstiti le persone fisiche che hanno il loro domicilio civile nella Svizzera (art. 1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Secondo l'art. 5 cpv.</w:t>
      </w:r>
    </w:p>
    <w:p>
      <w:r>
        <w:rPr>
          <w:b/>
        </w:rPr>
        <w:t>E. 6</w:t>
      </w:r>
    </w:p>
    <w:p>
      <w:r>
        <w:t>Il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w:t>
      </w:r>
    </w:p>
    <w:p>
      <w:r>
        <w:rPr>
          <w:b/>
        </w:rPr>
        <w:t>E. 7</w:t>
      </w:r>
    </w:p>
    <w:p>
      <w:r>
        <w:t>Nella sua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8.   Nel caso di specie, alla luce della documentazione agli atti e della sopra citata giurisprudenza, la decisione della Cassa di compensazione di non ammettere l’iscrizione quale indipendente del ricorrente per la sua collaborazione con la PI 1 di __________ appare più che corretta e giustificata. Gli elementi che caratterizzano un’attività salariata sono nettamente predominanti rispetto a quelli che potrebbero far propendere per un'attività indipendente. La documentazione agli atti, in particolare quella derivante dalla __________, è chiara ed illuminante. Il qui ricorrente ha specificatamente indicato di lavorare esclusivamente per conto della società salorinese, al 100%, e ciò con funzione di aiuto muratore (per l’80% del tempo) e quale falegname al 20%. Il signor RI 1 ha inoltre specificato (doc. 7) come egli non cerchi ulteriori incarichi sul mercato mediante gli usuali strumenti (piccoli annunci, …), di non disporre di ufficio ed officina, di non usare macchinari e strumenti propri ma di impiegare quelli del datore di lavoro, di non impiegare personale e di usare spazi del datore di lavoro (ufficio ed officina). Il signor RI 1 ha inoltre specificato di essere tenuto a rispettare specifiche regole per quanto attiene l’organizzazione del lavoro, in particolare gli orari di lavoro regolari dalle 08.00 alle 12.00 e dalle 13.00 alle 17.00. Questi tratti caratterizzano un rapporto di dipendenza. Il lavoro non viene fatturato al destinatario finale dell’opera svolta ma sempre ed unicamente alla PI 1 che riceve dai suoi clienti la commissione di eseguire determinate opere. Il numero di ore fatturato in poco più di due mesi è inoltre rilevante, oltre 340. La fatturazione è generica, non indica il cantiere sul quale il ricorrente ha svolto la sua attività, il nome del cliente appaltante. L’attività è, come detto, quindi di tutta prevalenza dipendente anche se va riconosciuto al signor RI 1 assenza di un divieto di concorrenza, la richiesta di iscrizione a RC della sua ditta individuale e la sottoscrizione di coperture assicurative presso la __________ e la __________. L’indicazione, sulle fatture, dell’assunzione degli oneri sociali da parte del ricorrente stesso nulla muta. La prevalenza del carattere dipendente dell’attività è, inoltre, desunto dall’assenza di un rischio aziendale e d’incasso vero e proprio da parte di RI 1 che si trova nei confronti della ditta di __________ nella stessa posizione di un collaboratore nei confronti del proprio datore di lavoro. Egli non deve infatti verificare la solvibilità, ed eventualmente procedere mediante procedure esecutive, dei numerosi contraenti che hanno chiesto alla PI 1 i lavori da questa poi fatti eseguire dal collaboratore signor RI 1. L’assenza di una libertà nella gestione del tempo di lavoro, l’assenza di strutture (arnesi di lavoro, spazi, officina …), l’assenza di un rischio aziendale e di un contatto diretto (ed incarico diretto) da parte dei numerosi clienti che hanno conferito gli incarichi pone il ricorrente nella stessa posizione di un lavoratore subordinato della PI 1 di __________. Alla luce di ciò il ricorso va respinto senza carico di tassa di giustizia e spese e senza attribuzione di ripetibili. Vista la chiamata in causa della datrice di lavoro la presente decisione è opponibile alla stessa nonostante l’assenza di reazione.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