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30.2011.28 vom 9. Januar 2012</w:t>
      </w:r>
    </w:p>
    <w:p>
      <w:r>
        <w:t>TI Tribunale d'appello, 2012-01-09, IT</w:t>
      </w:r>
    </w:p>
    <w:p>
      <w:r>
        <w:rPr>
          <w:b/>
        </w:rPr>
        <w:t xml:space="preserve">Quelle: </w:t>
      </w:r>
      <w:r>
        <w:t>https://mcp.opencaselaw.ch/entscheid/ti_gerichte_30.2011.28_d20120109</w:t>
      </w:r>
    </w:p>
    <w:p>
      <w:r>
        <w:t>FR: TI_GERICHTE 30.2011.28 du 9 janvier 2012</w:t>
      </w:r>
    </w:p>
    <w:p>
      <w:r>
        <w:t>IT: TI_GERICHTE 30.2011.28 del 9 gennaio 2012</w:t>
      </w:r>
    </w:p>
    <w:p>
      <w:pPr>
        <w:pStyle w:val="Heading2"/>
      </w:pPr>
      <w:r>
        <w:t>Regeste</w:t>
      </w:r>
    </w:p>
    <w:p>
      <w:r>
        <w:t>Affiliazione come dipendente annullata poiché nel preciso caso di specie gli elementi a favore di un'attività di carattere indipendente sono predominanti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Nell’evenienza concreta, controversa è la sola questione della qualifica di dipendente o indipendente dell’attività esercitata dall’ing. TERZ 1 nei confronti della RI 1. Non è invece più in discussione la qualifica (dipendente) dell’attività svolta dall’ing. TERZ 1 per le altre società oggetto delle decisioni formali del 4 marzo 2011, cresciute incontestate in giudicato.</w:t>
      </w:r>
    </w:p>
    <w:p>
      <w:r>
        <w:rPr>
          <w:b/>
        </w:rPr>
        <w:t>E. 3</w:t>
      </w:r>
    </w:p>
    <w:p>
      <w:r>
        <w:t>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 ' 11 marzo 2005; sentenza H 31/04 del 21 marzo 2005). In particolare, insolite costruzioni di diritto civile che devono servire a motivare un certo statuto di contribuzione qui non hanno alcun valore (RCC 1986 pag. 650). 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5.   Secondo la giurisprudenza del TFA ([dal 1° gennaio 2007: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6</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7</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8.   In concreto con sentenza del 12 aprile 2010 (inc. 30.2009.41) il TCA aveva rinviato l’incarto all’amministrazione per ulteriori accertamenti atti a stabilire lo statuto contributivo dell’ing. TERZ 1. Questo Tribunale aveva in particolare affermato: " La documentazione raccolta dalla Cassa di compensazione non consente, a questo stadio, di ammettere, direttamente e con la dovuta tranquillità, se l’attività svolta dal ricorrente possa effettivamente essere considerata dipendente. L’amministrazione si è infatti limitata a decidere sulla base di pochi atti senza procedere ad ulteriori accertamenti, allorché l’attività svolta, in particolare in favore della X, necessita di approfondimenti. Da una parte gli elementi a favore di un’attività indipendente sono numerosi: l’interessato ha iscritto a Registro di commercio la sua ditta individuale che ha quale scopo la gestione di uno studio d’ingegneria, la consulenza, la progettazione, la direzione lavori, lo sviluppo di Know-how ed engineering nei seguenti settori: infrastruttura (stradali, ferroviarie, tranviarie, a cavo, idriche); ambiente; edilizia (istituzionale, pubblica, residenziale, commerciale, espositiva e culturale, industriale, ospedaliera, sportiva e turistica (doc. 6) , l’assicurato ha investito circa fr. 1'740 in attrezzature informatiche (la fattura, dell’11 settembre 2009, è stata intestata alla ditta “__________”, doc. A2), l’assicurato ha ottenuto un secondo incarico dalla ditta RI 1 nel corso del mese di novembre 2009 (cfr. doc. A4) ed ha affermato di aver locato dei locali propri con effetto dal 1° gennaio 2010, fuori dalla propria abitazione. Egli inoltre non lavora in un locale appartenente al committente, non esiste un divieto di concorrenza, non ha diritto ad alcun indennizzo separato dei costi e delle spese (doc. 11), ha percepito una remunerazione forfetaria dal primo committente (fr. 25'000, cfr. doc. 17), ha allestito un documento nel quale viene fatta pubblicità per il suo studio di ingegneria (doc. 15). Nel prospetto figura che il ricorrente è titolare di uno studio d’ingegneria dal mese di luglio 2009, nel quale confluisce principalmente la sua esperienza nei settori di ingegneria civile, architettura, pianificazione territoriale, urbanistica ed industriale e la sua esperienza, nei Paesi dell’ex Unione sovietica e dei Balcani, gli permette di affrontare con successo complesse tematiche, così come le conoscenze dell’albanese, italiano, russo, francese ed inglese. Egli ha rilevato di collaborare con esperti settoriali di alto livello e l’appoggio di primarie società di ingegneria delle quali verifica il livello di qualità. Nella presentazione (doc. 15) figura inoltre che i servizi del suo studio di ingegneria includono consulenza, progettazione, project management, creazione e sviluppo di progetti e direzione dei lavori. Il suo ufficio è equipaggiato con i moderni sistemi per elaborazione di disegni (computer, stampanti, programma di calcoli statici Esa Prima Win e programma gestione progetti). A proposito del modus operandi nel prospetto figura che “ siamo fermamente convinti dell’importanza di un’assunzione responsabile degli impegni. Da ciò deriva che il processo di acquisizione di un incarico per noi si articola intorno ad un quesito non aggirabile: abbiamo inteso in maniera completa e siamo in grado responsabilmente di portare a termini quanto pattuito ” e a proposito della trasparenza che “ l’analisi viene svolta in contraddittorio, con trasparente esposizione delle istanze, delle criticità, delle opportunità, per la intima convinzione che, un efficace rapporto, nel rispetto dei ruoli, tra committente ed esecutore, non possa che passare per una reciproca profonda conoscenza, in termini di aspirazioni, valori, capacità, modalità .” (doc. 15). Ora, con sentenza del 21 marzo 2005 (H 31/04), l’Alta Corte ha considerato indipendente un ingegnere che aveva conseguito un importo di fr. 30'000 nel corso del 2001, rimunerato su base forfetaria (come in concreto) oppure secondo tariffa SIA, caratterizzata da usuale fatturazione e versamento sul suo conto bancario, che, tra le altre cose, non aveva alcun vincolo con il presunto datore di lavoro se non quello di rispetto delle scadenze per la consegna degli elaborati (come in concreto, cfr. presa di posizione della X, doc. VIII), ed ha ricordato tra l’altro che il rischio aziendale di un libero professionista consiste principalmente nel fatto che questi è tenuto a rispondere dell’esecuzione lege artis del mandato conferitogli e in caso di errore è chiamato a rifondere i danni. L’allora TFA, a proposito dell’investimento di fr 5'926 effettuato dall’allora ricorrente ha evidenziato come “ negare l’esistenza di un’attività indipendente per il fatto che M. non avrebbe effettuato investimenti tipici di un’attività imprenditoriale e comunque non di entità tale da essere paragonati a quelli di un imprenditore che intende iniziare un’occupazione indipendente, come argomentano i primi giudici, significa non tenere conto delle nuove realtà lavorative – che consentono sempre più di operare anche se delocalizzati (a casa propria, lontani dalla sede del committente o del mandante) e con l’ausilio dei mezzi informatici interattivi – e dei mutamenti economici in atto che permettono di svolgere un'attività lavorativa indipendente ad elevato tenore intellettuale senza necessità di dover inizialmente investire mezzi finanziari elevati per dotarsi di attrezzature, locali commerciali e personale. E comunque, anche ove si intenda considerare gli aspetti quantitativi, i dati numerici devono essere correlati al reddito conseguito. È vero che fr. 5'926.- possono apparire una cifra modesta in termini assoluti. Siffatto importo diviene tuttavia rilevante se rapportato a un reddito conseguito di fr. 30'000.- come è quello che è stato ripreso dalla Cassa .” (per un caso in cui, sulla base della citata sentenza federale, il Tribunale cantonale ha qualificato l’attività di un architetto quale indipendente, cfr. sentenza del</w:t>
      </w:r>
    </w:p>
    <w:p>
      <w:r>
        <w:rPr>
          <w:b/>
        </w:rPr>
        <w:t>E. 10</w:t>
      </w:r>
    </w:p>
    <w:p>
      <w:r>
        <w:t>ottobre 2005, inc. 30.2005.42). D’altra parte tuttavia vi è la circostanza che l’interessato ha svolto inizialmente la sua attività a favore del precedente datore di lavoro, la X, per la quale ha portato a termine un lavoro già iniziato in precedenza (cfr. doc. VIII). Egli inoltre nel compilare il formulario della Z circa l’attività esercitata, l’8 settembre 2009 ha indicato di svolgere un lavoro al 100% a favore della X di Y, di essere tenuto a rispettare un orario di lavoro regolare dalle 8.30 alle 12 e dalle 13.30 alle 18 e di non aver stipulato contratti di assicurazione in relazione con la sua attività (cfr. doc. 12). Ora, nel caso di una persona assicurata che, come in concreto, continua ad essere attiva in maniera significativa per il precedente datore di lavoro, vanno poste esigenze più severe per poter riconoscerne con riferimento alla specifica attività lo statuto di indipendente. In questa evenienza infatti i criteri che depongono in favore di un’attività indipendente devono chiaramente prevalere su quelli che parlano per un’attività lucrativa dipendente (sentenza 9C_614/2008 del 1° luglio 2009, consid. 4.1; sentenza H 83/04 del 23 giugno 2005, consid. 3.2 con riferimenti). Non va però dimenticato che la società ha affermato di avergli affidato il mandato in piena autonomia e senza alcun vincolo di subordinazione, ad eccezione dei termini di consegna (cfr. a questo proposito la sopra citata sentenza H 31/04 del 21 marzo 2005). Del resto l’interessato si trovava all’inizio della sua attività e ancora recentemente il TF ha evidenziato che non può essere ignorato che all’avvio di una attività indipendente è abbastanza usuale che un unico grande cliente costituisca la base degli affari, la conquista di nuovi clienti potendo per contro avvenire a poco a poco con il passare del tempo (cfr., tra le tante, la sentenza del Tribunale federale, H 149/06 e H 155/06 del 24 gennaio 2008, consid. 7.3: “ Infatti se è pur vero che Y.________ Sagl ha cominciato a consistentemente diversificare la sua clientela solo nel corso del 2005 (v. ricorso di L.________, pag. 3: "Nel 2004 la Y.________ Sagl ha allargato la rete dei propri clienti, e dal 2005 essa conta numerosi altri committenti"), vale a dire nell'anno in cui l'amministrazione ha proceduto alle riprese salariali in oggetto, d'altra parte non può nemmeno essere ignorato che all'avvio di una nuova attività (indipendente) è abbastanza usuale che un unico grande cliente costituisca la base degli affari, la conquista di nuovi clienti potendo per contro avvenire a poco a poco con il passare del tempo (v. sentenza del Tribunale federale delle assicurazioni H 155/04 del 14 febbraio 2005, consid. 4.3; cfr. inoltre pure la sentenza del Tribunale federale delle assicurazioni H 194/05 del 19 marzo 2007, consid. 7.1) ” . ; cfr. anche la sentenza H 194/05 del 19 marzo 2007, consid. 7.1 e la sentenza H 155/04 del 14 febbraio 2005, consid. 4.3 dove la Massima Corte ha affermato che “ Zu berücksichtigen ist schliesslich in dieser Hinsicht auch, dass bei Aufnahme einer selbständigen Erwerbstätigkeit zu Beginn oft nur ein “Grosskunde” die Basis des neuen Geschäftes bildet, während neue Klienten erst nach und nach gewonnen werden und zu einer breiteren Abstützung des Kundenkreises führen .”).“ 9.   Questo TCA alla luce di quanto sopra riportato e rammentato che l’amministrazione ha in sostanza optato per la dipendenza dell’interessato per il motivo che „ non fattura direttamente le sue prestazioni al cliente finale, bensì fattura a ditte del ramo quale prestatore di manodopera ” (doc. 8) e che per questo motivo non incorre in alcun “ rischio economico nel senso di rischio di perdita nel non riuscire ad incassare quanto fatturato, nella misura in  cui è la stessa ditta – e non i terzi committenti – che regola direttamente i propri impegni con l’ingegnere civile ” (doc. 3), non può confermare la decisione impugnata. I diversi elementi emersi nel corso della procedura inducono infatti a ritenere, ai fini contributivi sociali, un rapporto di indipendenza per l’attività svolta a favore della ricorrente. Dalle tavole processuali si evince che l’ing. TERZ 1 ha dedicato circa il 15% del suo tempo di lavoro all’attività per l’insorgente (doc. A8), che dispone di un locale proprio di lavoro equipaggiato, per il quale ha pagato un affitto mensile di fr. 325 (doc. A10), che non occupa personale, che non lavora in locali appartenenti al committente, che non ha diritto a vacanze retribuite o ad un salario in caso di malattie o infortunio, che non è tenuto ad osservare istruzioni per quanto riguarda l’orario di lavoro, l’organizzazione e l’esecuzione del lavoro (doc. A8). Non esiste inoltre alcun divieto di concorrenza. Il suo rischio imprenditoriale consiste, secondo lui, nel rischio d’incasso e del credere ed agisce in nome proprio e per proprio conto. Le parti hanno firmato l’11 febbraio 2010 un contratto “ per le prestazioni di servizi d’ingegneria ” relativo alla “ progettazione esecutiva d’ingegneria e Direzione Lavori per il progetto e realizzazione delle Opere di Ristrutturazione con ampliamento del fabbricato esistente del mappale __________ sito nel Comune di __________, provincia del __________, __________ ” (doc. A9). L’ing. TERZ 1 ha in particolare dovuto eseguire le seguenti prestazioni (doc. A9): - piano di Fondazioni (scala 1:50), inclusi dettagli (in scala adeguata); - consolidazione delle murature dove necessario; - nuovo muro di contenimento Nord (scale 1:50), inclusi dettaglio (in scala adeguata); - stesura del computo metrico e quantitativo per il capitolato da Capomastro; - 16 visite sul cantiere (almeno una a settimana). Stesura del rapporto di cantiere. Per queste prestazioni l’onorario, calcolato a prezzo forfettario, è stato fissato in fr. 11'624, pagati in tre rate (30% alla firma del contratto, 40% al 50% dell’avanzamento lavori dopo 2 mesi dall’inizio dei lavoro e 30% a completamento dei lavori dopo il collaudo). Le spese di viaggio e trasferta sono state messe a carico della __________, mentre le spese di riproduzione documenti a carico della RI 1. In concreto non è ravvisabile alcun rapporto di subordinazione tra l’ing. TERZ 1 e l’insorgente. Egli infatti non sottostava ad alcun divieto di concorrenza, non doveva seguire orari prestabiliti e poteva organizzarsi come meglio voleva. Non ha inoltre ricevuto alcun reddito fisso, ma l’onorario è stato fissato forfettariamente e versato sul suo conto bancario in tre momenti diversi (cfr. sentenza H 31/04 del 21 marzo 2005), senza alcun vincolo con il presunto datore di lavoro se non quello di rispetto delle scadenze per la consegna dell’opera (cfr. sentenza H 31/04 del 21 marzo 2005) . Avendo messo a disposizione le sue conoscenze tecniche, l’interessato dev’essere qualificato quale unico responsabile del risultato ottenuto (sentenza H 31/04 del 21 marzo 2005). Il lavoro intellettuale prodotto dall’ing. TERZ 1 ne ha determinato la totale responsabilità nell’eventualità di carenze progettuali (sentenza H 31/04 del 21 marzo 2005). Il rischio aziendale di un libero professionista consiste principalmente nel fatto che questi è tenuto a rispondere dell’esecuzione lege artis del mandato conferitogli e in caso di errore è chiamato a rifondere i danni (sentenza H 31/04 del 21 marzo 2005). La consulenza realizzata dall’ing. TERZ 1 si riferisce ad un’opera specialistica con rischio aziendale immanente. Come già indicato nella precedente sentenza per poter svolgere il citato mandato egli ha acquistato le attrezzature necessarie con rischio patrimoniale correlato per complessivi fr. 1'740. Nella già citata sentenza federale H 31/04 del 21 marzo 2005 l’Alta Corte ha evidenziato che negare l’esistenza di un’attività indipendente per il fatto che non sarebbero stati effettuati investimenti tipici di un’attività imprenditoriale e comunque non di entità tale da essere paragonati a quelli di un imprenditore che intende iniziare un’occupazione indipendente, significa non tenere conto delle nuove realtà lavorative che consentono sempre più di operare anche se delocalizzati e con l’ausilio dei mezzi informatici interattivi e dei mutamenti economici che permettono di svolgere un’attività lavorativa indipendente ad elevato tenore intellettuale senza necessità di dover inizialmente investire mezzi finanziari elevati per dotarsi di attrezzature, locali commerciali e personale. Infine va evidenziato come l’attività svolta per la ricorrente non è l’unica esercitata dall’interessato, a comprova dell’assenza di una dipendenza economica nei confronti dell’insorgente. Ne segue che, in applicazione della più volte citata giurisprudenza federale di cui alla sentenza H 31/04 del 21 marzo 2005, l’affiliazione quale dipendente della RI 1 va annullata. L’ing. TERZ 1 va qualificato quale indipendente per l’attività svolta nel 2010 in favore della citata società.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