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30.2010.22 vom 17. August 2010</w:t>
      </w:r>
    </w:p>
    <w:p>
      <w:r>
        <w:t>TI Tribunale d'appello, 2010-08-17, IT</w:t>
      </w:r>
    </w:p>
    <w:p>
      <w:r>
        <w:rPr>
          <w:b/>
        </w:rPr>
        <w:t xml:space="preserve">Quelle: </w:t>
      </w:r>
      <w:r>
        <w:t>https://mcp.opencaselaw.ch/entscheid/ti_gerichte_30.2010.22_d20100817</w:t>
      </w:r>
    </w:p>
    <w:p>
      <w:r>
        <w:t>FR: TI_GERICHTE 30.2010.22 du 17 août 2010</w:t>
      </w:r>
    </w:p>
    <w:p>
      <w:r>
        <w:t>IT: TI_GERICHTE 30.2010.22 del 17 agosto 2010</w:t>
      </w:r>
    </w:p>
    <w:p>
      <w:pPr>
        <w:pStyle w:val="Heading2"/>
      </w:pPr>
      <w:r>
        <w:t>Regeste</w:t>
      </w:r>
    </w:p>
    <w:p>
      <w:r>
        <w:t>Interessi di mora perché ricorrente NON ha pagato il saldo dei contributi paritetici entro 30gg dall'invio del conteggio. Spetta alla Cassa comprovare la notifica dell'atto,ma con l'invio per posta semplice il mittente non può stabilirla. Basarsi sulle dichiarazioni dell'ass.to. No interessi di mora</w:t>
      </w:r>
    </w:p>
    <w:p>
      <w:pPr>
        <w:pStyle w:val="Heading2"/>
      </w:pPr>
      <w:r>
        <w:t>Erwägungen</w:t>
      </w:r>
    </w:p>
    <w:p>
      <w:r>
        <w:rPr>
          <w:b/>
        </w:rPr>
        <w:t>E. 4</w:t>
      </w:r>
    </w:p>
    <w:p>
      <w:r>
        <w:t>OAVS). Di conseguenza, l'art. 41bis cpv. 1 lett. c OAVS non deve essere qui applicato in assenza di un ritardo nel pagamento dei contributi imputabile all'assicurata. Sul pagamento del conguaglio dei contributi del 2009 la ricorrente non deve pertanto versare alcun interesse di ritardo. La somma di Fr. 349,50 non è così dovuta. 7.   Stanti così le cose, il ricorso deve essere accolto e la decisione impugnata annullata. Malgrado sia vincente in causa, alla società ricorrente non vanno attribuite ripetibili siccome non è patrocinata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