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30.2009.5 vom 11. Mai 2009</w:t>
      </w:r>
    </w:p>
    <w:p>
      <w:r>
        <w:t>TI Tribunale d'appello, 2009-05-11, IT</w:t>
      </w:r>
    </w:p>
    <w:p>
      <w:r>
        <w:rPr>
          <w:b/>
        </w:rPr>
        <w:t xml:space="preserve">Quelle: </w:t>
      </w:r>
      <w:r>
        <w:t>https://mcp.opencaselaw.ch/entscheid/ti_gerichte_30.2009.5</w:t>
      </w:r>
    </w:p>
    <w:p>
      <w:r>
        <w:t>FR: TI_GERICHTE 30.2009.5 du 11 mai 2009</w:t>
      </w:r>
    </w:p>
    <w:p>
      <w:r>
        <w:t>IT: TI_GERICHTE 30.2009.5 del 11 maggio 2009</w:t>
      </w:r>
    </w:p>
    <w:p>
      <w:pPr>
        <w:pStyle w:val="Heading2"/>
      </w:pPr>
      <w:r>
        <w:t>Regeste</w:t>
      </w:r>
    </w:p>
    <w:p>
      <w:r>
        <w:t>Calcolo dei contributi come persona senza attività lucrativa di un'assicurata separata di fatto dal marito. Presa in considerazione del reddito conseguito sotto forma di rendita e della sostanza del marito</w:t>
      </w:r>
    </w:p>
    <w:p>
      <w:pPr>
        <w:pStyle w:val="Heading2"/>
      </w:pPr>
      <w:r>
        <w:t>Erwägungen</w:t>
      </w:r>
    </w:p>
    <w:p>
      <w:r>
        <w:rPr>
          <w:b/>
        </w:rPr>
        <w:t>E. 6</w:t>
      </w:r>
    </w:p>
    <w:p>
      <w:r>
        <w:t>OAVS). Per l’art. 30 cpv. 1 OAVS gli assicurati, considerati per un anno civile come persone senza attività lucrativa, possono chiedere che i contributi pagati per l’anno in questione vengano imputati a quelli che pagano in qualità di persone senza attività lucrativa. A norma dell’art. 30 cpv. 2 OAVS gli assicurati, senza attività lucrativa, che chiedono l’imputazione, devono comprovare il versamento di contributi sul reddito di un’attività lucrativa alla cassa di compensazione cui sono affiliati come persone senza attività lucrativa. Infine per l’art. 28 cpv. 4 OAVS se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A norma dell’art. 28 cpv. 4 bis OAVS alle condizioni dell’articolo 3 capoverso 3 LAVS, i contributi delle persone senza attività lucrativa sono considerati pagati per tutto l’anno in cui il matrimonio è stato concluso oppure sciolto. Quindi, i contributi della singola persona sposata senza attività lucrativa sono determinati sull’insieme dei redditi da pensione e sostanza dei coniugi, il tutto diviso per metà, qualunque sia il loro regime e anche qualora i coniugi siano stati tassati in modo separato (P. Y. Greber, J. L.Duc, G. Scartazzini, Commentaire des articles 1 à 16 de la loi fédérale sur l’assurance-vieillesse et survivants (LAVS), ad art. 10 LAVS, pag. 347 N. 25). Il Tribunale federale, a questo proposito, ha stabilito che l'art. 28 cpv. 4 OAVS è conforme alla legge e alla Costituzione (DTF 125 V 221 = Pratique VSI 1999 pag. 118, Pratique VSI 1999 pag. 204). 6.   Va poi rilevato che per giurisprudenza costante del TFA (dal 1° gennaio 2007: TF)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7.   Nel caso di specie i contributi dovuti dalla ricorrente per gli anni 2003, 2005 e 2006 quale persona senza attività lucrativa vanno calcolati in base alle rendite e alla sostanza in Svizzera ed all’estero derivanti dalle tassazioni fiscali dei rispettivi anni, 2003, 2005 e 2006, poiché il marito, con la sua attività indipendente, non ha contribuito a sufficienza, dovendo versare un importo inferiore rispetto al doppio del contributo minimo richiesto dalla legge (art. 3 cpv. 3 lett. a LAVS e doc. XII). L’insorgente non contesta l’obbligo di dover pagare i contributi quale persona senza attività lucrativa ma chiede che vengano calcolati separatamente sulla base della sostanza privata di ogni singolo contribuente. L’interessata fa valere di essere divorziata dal dicembre 2008 e di essere stata, in precedenza, separata di fatto. Va innanzitutto rilevato che la circostanza che la ricorrente è divorziata dal dicembre 2008 è ininfluente, giacché i contributi degli anni contestati devono essere calcolati sulla base dello stato di fatto in cui si trovava l’insorgente nei rispettivi anni di calcolo dei contributi, quando era ancora coniugata. Anche il fatto che l’interessata fosse separata di fatto (doc. 3) non le può essere d’aiuto poiché, per costante giurisprudenza, i contributi della singola persona sposata, senza attività lucrativa, sono determinati sull’insieme dei redditi da pensione e sostanza dei coniugi, il tutto diviso per metà, qualunque sia il loro regime e anche qualora i coniugi siano stati tassati in modo separato (P. Y. Greber, J. L.Duc, G. Scartazzini, Commentaire des articles 1 à 16 de la loi fédérale sur l’assurance-vieillesse et survivants (LAVS), ad art. 10 LAVS, pag. 347 N. 25: “ Si un assuré non-actif marié est soumis au paiement des cotisations, la fortune des deux conjoints doit être additionnée, quel que soit le régime matrimonial et même si les époux sont imposés fiscalement de manière séparée: la moitié de ce montant est prise en compte pour calculer les cotisations de cet assuré (art. 28 al. 4 RAVS) ”). Ciò del resto viene confermato anche dall’art. 28 cpv. 4 OAVS, il quale prevede che se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(cfr. anche le direttive sui contributi dei lavoratori indipendenti e delle persone senza attività lucrativa, DIN, marg. 2078 e seguenti). Come rileva Kieser, in Rechtsprechung des Bundesgerichts zum AHVG, Zurigo 1996, pag. 84 ad art. 10, „ keine Bedeutung hat der zwischen den Eheleuten vereinbarte Güterstand (ZAK 1986 515 E 3b), und es ist auch nicht die Berufung darauf möglich, dass aus dem Vermögen des in Gütertrennung lebenden Ehegatten kein Nutzen gezogen wird (103 V 51) .“ Nella Pratique VSI 1996 pag. 25, l'introduzione dell’art. 28 cpv. 4 OAVS, è stata così giustificata: " Faute de disposition légale ou réglementaire, le Tribunal fédéral des assurances a décidé que les conditions sociales de l'époux sans activité lucrative se détermine sur la base non seulement de sa fortune et de son revenu sous forme de rente à lui, mais aussi sur ceux de sa femme (VSI 1994, p. 174 consid. 3 et 4a; RCC 1991, p. 433; ATF 105 V 243 = RCC 1980, p. 248; RCC 1985, p. 158). Le Tribunal fédéral des assurances étaie cette jurisprudence par l'obligation conjugale d'assistance et d'entretien qui incombe aux époux quel que soit le régime matrimonial. Poursuivre cette pratique reviendrait à charger de manière excessivement forte les couples, qui ne tombent pas sous le coup de l'article 3, alinéa 3 LAVS. Pour cette raison, il faut introduire au niveau du réglement une disposition qui soit appropriée et proportionnelle. Une correction au niveau du réglement s'impose directement. Conformément à cela, la fortune et le revenu sous forme de rente des époux conjoints doivent être additionnés, indépendamment du régime matrimonial et même si les époux sont imposés séparément; la moitié de ce montant doit être prise en compte pour calculer les cotisations du ou des conjoints non actifs." (sottolineatura del redattore) Nel caso di specie, pertanto, la circostanza che i coniugi __________ hanno vissuto separatamente dal mese di __________, costituendo un domicilio proprio, non è un motivo per non calcolare il contributo della moglie sulla base della sostanza e del reddito complessivo dei coniugi. Accertato che nel caso di specie negli anni 2003, 2005 e 2006 la ricorrente era ancora coniugata, il suo contributo va di conseguenza calcolato sulla base delle rendite conseguite da lei e dal marito, moltiplicate per venti, cui va aggiunta la sostanza netta detenuta da entrambi i coniugi in Svizzera ed all’estero. Il risultato così ottenuto va poi diviso per due conformemente a quanto prevede l’art. 28 cpv. 4 OAVS. Nel caso di specie dagli atti emerge che la Cassa ha calcolato correttamente il contributo dovuto dalla ricorrente. In particolare nel 2003 l’ammontare del reddito conseguito sotto forma di rendita ammonta a fr. 12'500, pari a quanto tassato alla voce altri redditi (cfr., fra le tante, sentenza del 10 dicembre 2001, inc. 30.2000.163). A questo importo, moltiplicato per venti, va aggiunta la sostanza complessiva di fr. 3'773'901 (doc. 12), per una sostanza determinante di fr. 2'011'950 ({[12'500 X 20] + 3'773'901} : 2), un contributo di fr. 4'191.50 (cfr. art. 28 cpv. 1 OAVS, art. 1bis cpv. 2 OAI e art. 36 cpv. 2 OIPG: fr. 3'434 per i primi fr. 1'750'000 di sostanza e fr. 151.50 per ogni ulteriori fr. 50'000, in concreto: 151.50 X 5 = 757.50, per complessivi fr. 3’434 + 757.50 = 4'191.50) e fr. 83.85 di spese amministrative, ossia 2% di fr. 4'191.50 (cfr. art. 157 OAVS e art. 1 dell’Ordinanza sulle aliquote massime dei contributi alle spese di amministrazione dell’AVS, RS 831.143.41). Per il 2005 al reddito conseguito sotto forma di rendite di fr. 12'500, moltiplicato per venti, va aggiunto l’importo della sostanza di fr. 5'400'379 (doc.</w:t>
      </w:r>
    </w:p>
    <w:p>
      <w:r>
        <w:rPr>
          <w:b/>
        </w:rPr>
        <w:t>E. 9</w:t>
      </w:r>
    </w:p>
    <w:p>
      <w:r>
        <w:t>e 10), per una sostanza determinante di fr. 2'825'189 ({[12'500 X 20] + 5'400’379} : 2), un contributo di fr. 6'615.50 (fr. 3'434 per i primi fr. 1'750'000 di sostanza e fr. 151.50 per ogni ulteriori fr. 50'000, in concreto: 151.50 X 21 = 3'181.50, per complessivi fr. 3’434 + 3'181.50 = 6’615.50) e fr. 132.30 di spese amministrative (2% di fr. 6'615.50). Infine per il 2006 va presa in considerazione unicamente la sostanza complessiva di fr. 5'356'530 (doc. 6 e 7), divisa per due, per una sostanza determinante complessiva di fr. 2'678'265 ed un contributo di fr. 6'161 (fr. 3'434 per i primi fr. 1'750'000 di sostanze e fr. 151.50 per ogni ulteriori fr. 50'000, in concreto 151.50 X 18 = 2'727, per complessivi fr. 3'434 + 2'727 = fr 6'161) e fr. 123.20 di spese amministrative (ossia il 2% di fr. 6'161). Alla luce di tutto quanto sopra esposto, la decisione impugnata merita conferma, mentre il ricorso va respinto. Va infine abbondanzialmente rilevato che, se dalle decisioni definitive che la Cassa dovrà emettere nei confronti dell’ex marito per il pagamento dei contributi come indipendente per gli anni 2003, 2005 e 2006 dovesse emergere che l’ex marito deve versare un importo superiore al doppio del contributo minimo, la ricorrente potrà chiedere la revisione della presente sentenza (art. 61 lett. i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