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30.2009.45 vom 1. Oktober 2010</w:t>
      </w:r>
    </w:p>
    <w:p>
      <w:r>
        <w:t>TI Tribunale d'appello, 2010-10-01, IT</w:t>
      </w:r>
    </w:p>
    <w:p>
      <w:r>
        <w:rPr>
          <w:b/>
        </w:rPr>
        <w:t xml:space="preserve">Quelle: </w:t>
      </w:r>
      <w:r>
        <w:t>https://mcp.opencaselaw.ch/entscheid/ti_gerichte_30.2009.45</w:t>
      </w:r>
    </w:p>
    <w:p>
      <w:r>
        <w:t>FR: TI_GERICHTE 30.2009.45 du 1 octobre 2010</w:t>
      </w:r>
    </w:p>
    <w:p>
      <w:r>
        <w:t>IT: TI_GERICHTE 30.2009.45 del 1 ottobre 2010</w:t>
      </w:r>
    </w:p>
    <w:p>
      <w:pPr>
        <w:pStyle w:val="Heading2"/>
      </w:pPr>
      <w:r>
        <w:t>Volltext</w:t>
      </w:r>
    </w:p>
    <w:p>
      <w:r>
        <w:t>Incarto n.30.2009.45</w:t>
      </w:r>
    </w:p>
    <w:p>
      <w:r>
        <w:t>2042/108</w:t>
      </w:r>
    </w:p>
    <w:p>
      <w:r>
        <w:t>Bellinzona</w:t>
      </w:r>
    </w:p>
    <w:p>
      <w:r>
        <w:t>1 ottobre 2010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__________ in qualità di segretaria per statuire sul ricorso 9 febbraio 2009 presentato da</w:t>
      </w:r>
    </w:p>
    <w:p>
      <w:r>
        <w:t>RI 1</w:t>
      </w:r>
    </w:p>
    <w:p>
      <w:r>
        <w:t>contro</w:t>
      </w:r>
    </w:p>
    <w:p>
      <w:r>
        <w:t>la decisione 30 gennaio 2009 n. 2042/108 emessa dalla CRTE 1</w:t>
      </w:r>
    </w:p>
    <w:p>
      <w:r>
        <w:t>letti ed esaminati gli atti;</w:t>
      </w:r>
    </w:p>
    <w:p>
      <w:r>
        <w:t>ritenuto                             in fatto</w:t>
      </w:r>
    </w:p>
    <w:p>
      <w:r>
        <w:t>che CRTE 1con decisione 30 gennaio 2009 ha inflitto a RI 1 una multa di fr. 100.-, oltre alla tassa di giustizia di fr. 20.- e alle spese di fr. 10.-, per i seguenti fatti accertati il 14 settembre 2008 in territorio di Besso:</w:t>
      </w:r>
    </w:p>
    <w:p>
      <w:r>
        <w:t>"Alla guida del veicolo TI 204046 non osservava il segnale zona pedonale ;</w:t>
      </w:r>
    </w:p>
    <w:p>
      <w:r>
        <w:t>che la risoluzione è stata resa in applicazione degli art. 3, 27 cpv. 1, 90 cifra 1 LCStr; 22c cpv. 1 OSStr;</w:t>
      </w:r>
    </w:p>
    <w:p>
      <w:r>
        <w:t>che contro predetta pronuncia dipartimentale RI 1 si è aggravato davanti a questo giudice chiedendone l'annullamento;</w:t>
      </w:r>
    </w:p>
    <w:p>
      <w:r>
        <w:t>considerato                      in diritto</w:t>
      </w:r>
    </w:p>
    <w:p>
      <w:r>
        <w:t>che il ricorso, tempestivo, è ricevibile in ordine giusta lart. 4 LPContr e può essere giudicato sulla base degli atti a norma dellart. 12 LPContr;</w:t>
      </w:r>
    </w:p>
    <w:p>
      <w:r>
        <w:t>che per lart. 27 cpv. 1 LCStr lutente della strada deve osservare i segnali e le demarcazioni stradali, come anche le istruzioni della polizia; le «Zone pedonali» (2.59.3) sono riservate ai pedoni e agli utenti di mezzi simili a veicoli. Se, eccezionalmente, è ammesso un traffico limitato di veicoli, vi si può circolare soltanto a passo duomo; i pedoni e gli utenti di mezzi simili a veicoli hanno la precedenza (art. 22c cpv. 1 OSStr);</w:t>
      </w:r>
    </w:p>
    <w:p>
      <w:r>
        <w:t>che chiunque contravviene alle norme della circolazione contenute nella LCStr o nelle prescrizioni di esecuzione del Consiglio federale è punito con la multa(art. 90 cifra 1 LCStr); per linosservanza del segnale «Zona pedonale» lelenco allegato allOrdinanza concernente le multe disciplinari (OMD) prevede una sanzione pecuniaria di fr. 100.- (infrazione n. 304.20).</w:t>
      </w:r>
    </w:p>
    <w:p>
      <w:r>
        <w:t>che la CRTE 1 rimprovera al multato di non aver osservato il segnale Zona pedonale, in località __________; la decisione impugnata si fonda sullaccertamento eseguito da un agente della Polizia comunale di __________;</w:t>
      </w:r>
    </w:p>
    <w:p>
      <w:r>
        <w:t>che linsorgente non contesta di per sé laccertamento compiuto dallagente, ma si giustifica nondimeno asserendo quanto segue:</w:t>
      </w:r>
    </w:p>
    <w:p>
      <w:r>
        <w:t>Io sono di professione tassametrista e posso anche dimostrare che il veicolo con il quale viaggiavo è anche immatricolato per il trasporto professionale di persone, e che in quelloccasione ho portato un cliente della ditta per la quale lavoro alla stazione e mi sono fermato solo pochi istanti per incassare la corsa e scaricare la valigia, e uscendo ho incontrato lagente (tra laltro fuori servizio ed in abito civile) che mi ha contestato la contravvenzione.</w:t>
      </w:r>
    </w:p>
    <w:p>
      <w:r>
        <w:t>Vi prego quindi di voler rivedere la vostra decisione definitiva perché stavo solo svolgendo il mio lavoro nellinteresse del cliente;</w:t>
      </w:r>
    </w:p>
    <w:p>
      <w:r>
        <w:t>che chiamato a esprimersi sulle giustificazioni addotte dal multato, lagente denunciante  il quale, giusta lart. 16 cpv. 3 della Legge sulla polizia è chiamato a esercitare compiti di polizia (tra i quali rientra laccertamento di infrazioni e la denuncia alle autorità competenti) anche fuori dai turni di servizio, quando le circostanze lo richiedono  ha, dal canto suo, specificato quanto segue:</w:t>
      </w:r>
    </w:p>
    <w:p>
      <w:r>
        <w:t>() Faccio rimarcare che allentrata del __________, vi è una barriera (automatica)che vieta laccesso ai non autorizzati e un cartello di Zona pedonale con deroga, Bus, Biciclette e ai tassametristi concessionari A e B __________ ai quali viene fornito relativo telecomando.</w:t>
      </w:r>
    </w:p>
    <w:p>
      <w:r>
        <w:t>Per quanto concerne il citato[,] visto che non fa parte di questa categoria di tassametristi, non gli è stata rilasciata alcuna autorizzazione e telecomando daccesso al __________(cfr. rapporto di controsservazioni 9 maggio 2009, sul quale linsorgente è rimasto silente nonostante il termine assegnatogli da questo giudice con raccomandata 19 maggio 2009);</w:t>
      </w:r>
    </w:p>
    <w:p>
      <w:r>
        <w:t>che dal fascicolo processuale emerge che linsorgente non esercitava, per lo meno allepoca dei fatti, il servizio taxi quale tassametrista concessionario __________ (rilasciata dal Municipio, a determinate condizioni e previo pubblico concorso, giusta gli art. 4 e segg. dellOrdinanza municipale sul servizio taxi, in vigore dal 1° marzo 1989), circostanza che egli non contesta;</w:t>
      </w:r>
    </w:p>
    <w:p>
      <w:r>
        <w:t>che ciò premesso, occorre interrogarsi sullinterpretazione della segnaletica presente in loco, che, come si evince dalla documentazione fotografica prodotta dallinsorgente, istituisce uneccezione al divieto di accesso alla zona pedonale in questione a favore di autolinee, taxi, biciclette;</w:t>
      </w:r>
    </w:p>
    <w:p>
      <w:r>
        <w:t>che per costante giurisprudenza un segnale è obbligatorio soltanto se è univoco e se il suo significato è agevolmente riconoscibile (DTF 106 IV 138, consid. 4, riferito a un segnale di divieto; cfr. inoltreBussy/Rusconi, Commentaire du code suisse de la circulation routière, Losanna 1996, n. 2.1 ad art. 27 LCStr e n. 1.3 ad art. 103 OSStr);</w:t>
      </w:r>
    </w:p>
    <w:p>
      <w:r>
        <w:t>che in concreto, nella misura in cui è intesa a riservare laccesso alla zona pedonale e lannesso utilizzo di stalli preferenziali ai soli tassisti concessionari __________ (come afferma lagente denunciante, senza tuttavia precisare il fondamento di tale limitazione), la segnaletica così come attualmente esposta contiene unevidente lacuna, poiché leccezione in essa contemplata si rivolge ai conducenti di taxi senza operare distinzioni di sorta, ciò che può ragionevolmente indurre a credere che la zona sia normalmente accessibile a chi offre tale servizio (la presenza della barriera non è atta a supplire alla manchevolezza della segnaletica);</w:t>
      </w:r>
    </w:p>
    <w:p>
      <w:r>
        <w:t>che, pur ammettendo che linsorgente non potesse ignorare lesistenza dellOrdinanza municipale sul servizio taxi che disciplina lo svolgimento del servizio taxi sul territorio giurisdizionale di __________ (essendo domiciliato a Pregassona), la segnaletica non è appropriata a concretizzare detta regolamentazione e, di riflesso, a esplicare gli effetti di un divieto di accesso per i tassametristi non concessionari di __________, poiché difetta una chiara indicazione in tal senso (basterebbe ad es. una tavola complementare recante liscrizione con autorizzazione);</w:t>
      </w:r>
    </w:p>
    <w:p>
      <w:r>
        <w:t>che in esito a quanto precede, il ricorso deve essere accolto e la decisione impugnata annullata; visto lesito del gravame non si prelevano né tasse né spese;</w:t>
      </w:r>
    </w:p>
    <w:p>
      <w:r>
        <w:t>per questi motivi,                visti gli art. 3, 27 cpv. 1, 90 cifra 1 LCStr; 22c cpv. 1 OSStr; 1 segg. LPContr;</w:t>
      </w:r>
    </w:p>
    <w:p>
      <w:r>
        <w:t>dichiara e</w:t>
      </w:r>
    </w:p>
    <w:p>
      <w:r>
        <w:t>pronuncia:                1.Il ricorsoè accoltoe la decisione impugnata è annullata.</w:t>
      </w:r>
    </w:p>
    <w:p>
      <w:r>
        <w:t>2.Non si prelevano né tasse né spese.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