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30.2009.41 vom 12. April 2010</w:t>
      </w:r>
    </w:p>
    <w:p>
      <w:r>
        <w:t>TI Tribunale d'appello, 2010-04-12, IT</w:t>
      </w:r>
    </w:p>
    <w:p>
      <w:r>
        <w:rPr>
          <w:b/>
        </w:rPr>
        <w:t xml:space="preserve">Quelle: </w:t>
      </w:r>
      <w:r>
        <w:t>https://mcp.opencaselaw.ch/entscheid/ti_gerichte_30.2009.41</w:t>
      </w:r>
    </w:p>
    <w:p>
      <w:r>
        <w:t>FR: TI_GERICHTE 30.2009.41 du 12 avril 2010</w:t>
      </w:r>
    </w:p>
    <w:p>
      <w:r>
        <w:t>IT: TI_GERICHTE 30.2009.41 del 12 aprile 2010</w:t>
      </w:r>
    </w:p>
    <w:p>
      <w:pPr>
        <w:pStyle w:val="Heading2"/>
      </w:pPr>
      <w:r>
        <w:t>Regeste</w:t>
      </w:r>
    </w:p>
    <w:p>
      <w:r>
        <w:t>Richiesta di affiliazione come indipendente di un ingegnere. Rinvio degli atti alla cassa di compensazione per ulteriori accertamenti poiché dagli atti non emerge con sufficiente chiarezza la natura dell'attività svolta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Oggetto del contendere è la questione di sapere se l'ing. __________RI 1 va considerato dipendente della PI 1 o se va affiliato quale indipendente.</w:t>
      </w:r>
    </w:p>
    <w:p>
      <w:r>
        <w:rPr>
          <w:b/>
        </w:rPr>
        <w:t>E. 3</w:t>
      </w:r>
    </w:p>
    <w:p>
      <w:r>
        <w:t>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 ' 11 marzo 2005; sentenza H 31/04 del 21 marzo 2005). In particolare, insolite costruzioni di diritto civile che devono servire a motivare un certo statuto di contribuzione qui non hanno alcun valore (RCC 1986 pag. 650). 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5.   Secondo la giurisprudenza del TFA ([dal 1° gennaio 2007: TF]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3.2</w:t>
      </w:r>
    </w:p>
    <w:p>
      <w:r>
        <w:t>con riferimenti). Non va però dimenticato che la società ha affermato di avergli affidato il mandato in piena autonomia e senza alcun vincolo di subordinazione, ad eccezione dei termini di consegna (cfr. a questo proposito la sopra citata sentenza H 31/04 del 21 marzo 2005). Del resto l’interessato si trovava all’inizio della sua attività e ancora recentemente il TF ha evidenziato che non può essere ignorato che all’avvio di una attività indipendente è abbastanza usuale che un unico grande cliente costituisca la base degli affari, la conquista di nuovi clienti potendo per contro avvenire a poco a poco con il passare del tempo (cfr., tra le tante, la sentenza del Tribunale federale, H 149/06 e H 155/06 del 24 gennaio 2008, consid. 7.3: “ Infatti se è pur vero che Y.________ Sagl ha cominciato a consistentemente diversificare la sua clientela solo nel corso del 2005 (v. ricorso di L.________, pag. 3: "Nel 2004 la Y.________ Sagl ha allargato la rete dei propri clienti, e dal 2005 essa conta numerosi altri committenti"), vale a dire nell'anno in cui l'amministrazione ha proceduto alle riprese salariali in oggetto, d'altra parte non può nemmeno essere ignorato che all'avvio di una nuova attività (indipendente) è abbastanza usuale che un unico grande cliente costituisca la base degli affari, la conquista di nuovi clienti potendo per contro avvenire a poco a poco con il passare del tempo (v. sentenza del Tribunale federale delle assicurazioni H 155/04 del 14 febbraio 2005, consid. 4.3; cfr. inoltre pure la sentenza del Tribunale federale delle assicurazioni H 194/05 del 19 marzo 2007, consid. 7.1) ” . ; cfr. anche la sentenza H 194/05 del 19 marzo 2007, consid. 7.1 e la sentenza H 155/04 del 14 febbraio 2005, consid. 4.3 dove la Massima Corte ha affermato che “ Zu berücksichtigen ist schliesslich in dieser Hinsicht auch, dass bei Aufnahme einer selbständigen Erwerbstätigkeit zu Beginn oft nur ein “Grosskun-de” die Basis des neuen Geschäftes bildet, während neue Klienten erst nach und nach gewonnen werden und zu einer breiteren Abstützung des Kundenkreises führen .”). 9.   Alla luce degli elementi sopra riportati questo Tribunale ritiene che allo stato attuale non sia ancora possibile determinare con la dovuta tranquillità lo statuto lavorativo dell’insorgente. Il ricorso deve pertanto essere accolto e l’incarto rinviato all’amministrazione affinché proceda con ulteriori accertamenti. In particolare la Cassa deve esaminare nel dettaglio il rapporto di lavoro con la PI 1 per stabilire se l’interessato ha semplicemente ricevuto un solo mandato puntuale, eseguito nel corso dei primi mesi di attività oppure se la collaborazione è continuata nel tempo. A questo proposito la Cassa dovrà acquisire indicazioni circa le modalità del lavoro svolto (integrazione o meno nell’azienda, organizzazione del lavoro, impiego del tempo, possibilità effettiva di lavorare durante il periodo preso in esame, anche per terze persone, libertà operazionale e vincolo alle istruzioni, ecc.) e stabilire eventuali differenze nell’espletamento del lavoro prestato rispetto a quando l’insorgente era alle dipendenze della PI 1. A questo proposito la Cassa dovrà acquisire sia le fatture emesse in favore della PI 1, per stabilire il guadagno conseguito, sia eventuali contratti sottoscritti dalle parti e interpellare l’insorgente e la società circa il tipo di rapporto che intercorre(va) tra di loro. L’amministrazione dovrà inoltre effettuare accertamenti circa eventuali ulteriori mandati acquisiti presso terzi (chiedendo la trasmissione di tutte le fatture emesse), esaminare che tipo di lavoro è stato effettuato per questi ulteriori clienti (se ve ne sono), stabilire quali sforzi sono stati fatti per avere nuova clientela, richiamare il contratto relativo ai locali che l’assicurato afferma di aver locato con effetto dal 1° gennaio 2010 in via __________ a __________ ed interpellare gli eventuali clienti. Certo, questi ultimi accertamenti concernono fatti avvenuti dopo l’emissione della decisione impugnata. Ora, secondo costante giurisprudenza,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Tuttavia, ritenuto che l’attività è iniziata da poco tempo (luglio 2009) e che occorre esaminare lo sviluppo che la medesima ha avuto nel tempo, si tratta di accertamenti che permettono di meglio contestualizzare il tipo di attività svolta e di accertare se effettivamente vi è stata una maggiore diversificazione della clientela. Solo dopo aver effettuato questi accertamenti la Cassa, sulla base della sopra citata giurisprudenza (cfr. in particolare la sentenza H 31/04 del 21 marzo 2005 e la sentenza H 149/06 e H 155/06 del 24 gennaio 2008), potrà stabilire lo statuto dell’attività svolta dall’insorgente. Questo Tribunale è cosciente delle difficoltà che può incontrare la Cassa nel qualificare l’attività di assicurati all’inizio della loro attività lavorativa, in particolare laddove vi è la richiesta di essere affiliati come indipendenti e la necessità, d’altra parte, di emanare una decisione quando l’attività viene qualificata di dipendente. Proprio per meglio accertare il tipo di attività che l’interessato ha intenzione di svolgere, in casi come il presente, sarebbe auspicabile, laddove possibile, che l’amministrazione convochi le persone interessate alfine di meglio cogliere, sin dall’inizio, le diverse sfumature dell’attività che il richiedente sta per iniziare.</w:t>
      </w:r>
    </w:p>
    <w:p>
      <w:r>
        <w:rPr>
          <w:b/>
        </w:rPr>
        <w:t>E. 6</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7</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8.   Nel caso di specie, alla luce degli atti, questo Tribunale ritiene che la qualifica di dipendente dell’Ing. RI 1 non può (ancora) essere confermata sulla base degli elementi attualmente a disposizione. La documentazione raccolta dalla Cassa di compensazione non consente, a questo stadio, di ammettere, direttamente e con la dovuta tranquillità, se l’attività svolta dal ricorrente possa effettivamente essere considerata dipendente. L’amministrazione si è infatti limitata a decidere sulla base di pochi atti senza procedere ad ulteriori accertamenti, allorché l’attività svolta, in particolare in favore della PI 1, necessita di approfondimenti. Da una parte gli elementi a favore di un’attività indipendente sono numerosi: l’interessato ha iscritto a Registro di commercio la sua ditta individuale che ha quale scopo la __________ (doc. 6), l’assicurato ha investito circa fr. 1'740 in attrezzature informatiche (la fattura, dell’11 settembre 2009, è stata intestata alla ditta “__________”, doc. A2), l’assicurato ha ottenuto un secondo incarico dalla ditta __________ nel corso del mese di novembre 2009 (cfr. doc. A4) ed ha affermato di aver locato dei locali propri con effetto dal 1° gennaio 2010, fuori dalla propria abitazione. Egli inoltre non lavora in un locale appartenente al committente, non esiste un divieto di concorrenza, non ha diritto ad alcun indennizzo separato dei costi e delle spese (doc. 11), ha percepito una remunerazione forfetaria dal primo committente (fr. 25'000, cfr. doc. 17), ha allestito un documento nel quale viene fatta pubblicità per il suo studio di ingegneria (doc. 15). Nel prospetto figura che il ricorrente è titolare di uno studio d’ingegneria dal mese di luglio 2009, nel quale confluisce principalmente la sua esperienza nei settori di ingegneria civile, architettura, pianificazione territoriale, urbanistica ed industriale e la sua esperienza, nei Paesi dell’ex Unione sovietica e dei Balcani, gli permette di affrontare con successo complesse tematiche, così come le conoscenze dell’albanese, italiano, russo, francese ed inglese. Egli ha rilevato di collaborare con esperti settoriali di alto livello e l’appoggio di primarie società di ingegneria delle quali verifica il livello di qualità. Nella presentazione (doc. 15) figura inoltre che i servizi del suo studio di ingegneria includono consulenza, progettazione, project management, creazione e sviluppo di progetti e direzione dei lavori. Il suo ufficio è equipaggiato con i moderni sistemi per elaborazione di disegni (computer, stampanti, programma di calcoli statici Esa Prima Win e programma gestione progetti). A proposito del modus operandi nel prospetto figura che “ siamo fermamente convinti dell’importanza di un’assunzione responsa-bile degli impegni. Da ciò deriva che il processo di acquisizione di un incarico per noi si articola intorno ad un quesito non aggira-bile: abbiamo inteso in maniera completa e siamo in grado responsabilmente di portare a termini quanto pattuito ” e a proposito della trasparenza che “ l’analisi viene svolta in contraddittorio, con trasparente esposizione delle istanze, delle criticità, delle opportunità, per la intima convinzione che, un efficace rapporto, nel rispetto dei ruoli, tra committente ed esecutore, non possa che passare per una reciproca profonda conoscenza, in termini di aspirazioni, valori, capacità, modalità .” (doc. 15). Ora, con sentenza del 21 marzo 2005 (H 31/04), l’Alta Corte ha considerato indipendente un ingegnere che aveva conseguito un importo di fr. 30'000 nel corso del 2001, rimunerato su base forfetaria (come in concreto) oppure secondo tariffa SIA, caratterizzata da usuale fatturazione e versamento sul suo conto bancario, che, tra le altre cose, non aveva alcun vincolo con il presunto datore di lavoro se non quello di rispetto delle scadenze per la consegna degli elaborati (come in concreto, cfr. presa di posizione della PI 1, doc. VIII), ed ha ricordato tra l’altro che il rischio aziendale di un libero professionista consiste principalmente nel fatto che questi è tenuto a rispondere dell’esecuzione lege artis del mandato conferitogli e in caso di errore è chiamato a rifondere i danni. L’allora TFA, a proposito dell’investimento di fr 5'926 effettuato dall’allora ricorrente ha evidenziato come “ negare l’esistenza di un’attività indipendente per il fatto che M. non avrebbe effettuato investimenti tipici di un’attività imprenditoriale e comunque non di entità tale da essere paragonati a quelli di un imprenditore che intende iniziare un’occupazione indipendente, come argomentano i primi giudici, significa non tenere conto delle nuove realtà lavorative – che consentono sempre più di operare anche se delocalizzati (a casa propria, lontani dalla sede del committente o del mandante) e con l’ausilio dei mezzi informatici interattivi – e dei mutamenti economici in atto che permettono di svolgere un'attività lavorativa indipendente ad elevato tenore intellettuale senza necessità di dover inizialmente investire mezzi finanziari elevati per dotarsi di attrezzature, locali commerciali e personale. E comunque, anche ove si intenda considerare gli aspetti quantitativi, i dati numerici devono essere correlati al reddito conseguito. È vero che fr. 5'926.- possono apparire una cifra modesta in termini assoluti. Siffatto importo diviene tuttavia rilevante se rapportato a un reddito conseguito di fr. 30'000.- come è quello che è stato ripreso dalla Cassa .” (per un caso in cui, sulla base della citata sentenza federale, il Tribunale cantonale ha qualificato l’attività di un architetto quale indipendente, cfr. sentenza del</w:t>
      </w:r>
    </w:p>
    <w:p>
      <w:r>
        <w:rPr>
          <w:b/>
        </w:rPr>
        <w:t>E. 10</w:t>
      </w:r>
    </w:p>
    <w:p>
      <w:r>
        <w:t>ottobre 2005, inc. 30.2005.42). D’altra parte tuttavia vi è la circostanza che l’interessato ha svolto inizialmente la sua attività a favore del precedente datore di lavoro, la PI 1, per la quale ha portato a termine un lavoro già iniziato in precedenza (cfr. doc. VIII). Egli inoltre nel compilare il formulario della __________ circa l’attività esercitata, l’8 settembre 2009 ha indicato di svolgere un lavoro al 100% a favore della PI 1 di __________, di essere tenuto a rispettare un orario di lavoro regolare dalle 8.30 alle 12 e dalle 13.30 alle 18 e di non aver stipulato contratti di assicurazione in relazione con la sua attività (cfr. doc. 12). Ora, nel caso di una persona assicurata che, come in concreto, continua ad essere attiva in maniera significativa per il precedente datore di lavoro, vanno poste esigenze più severe per poter riconoscerne con riferimento alla specifica attività lo statuto di indipendente. In questa evenienza infatti i criteri che depongono in favore di un’attività indipendente devono chiaramente prevalere su quelli che parlano per un’attività lucrativa dipendente (sentenza 9C_614/2008 del 1° luglio 2009, consid. 4.1; sentenza H 83/04 del 23 giugno 2005,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