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30.2009.20 vom 12. August 1999</w:t>
      </w:r>
    </w:p>
    <w:p>
      <w:r>
        <w:t>TI Tribunale d'appello, 1999-08-12, IT</w:t>
      </w:r>
    </w:p>
    <w:p>
      <w:r>
        <w:rPr>
          <w:b/>
        </w:rPr>
        <w:t xml:space="preserve">Quelle: </w:t>
      </w:r>
      <w:r>
        <w:t>https://mcp.opencaselaw.ch/entscheid/ti_gerichte_30.2009.20_d19990812</w:t>
      </w:r>
    </w:p>
    <w:p>
      <w:r>
        <w:t>FR: TI_GERICHTE 30.2009.20 du 12 août 1999</w:t>
      </w:r>
    </w:p>
    <w:p>
      <w:r>
        <w:t>IT: TI_GERICHTE 30.2009.20 del 12 agosto 1999</w:t>
      </w:r>
    </w:p>
    <w:p>
      <w:pPr>
        <w:pStyle w:val="Heading2"/>
      </w:pPr>
      <w:r>
        <w:t>Regeste</w:t>
      </w:r>
    </w:p>
    <w:p>
      <w:r>
        <w:t>Restituzione della rendita vedovile percepita dopo essere passata a nuove nozze. Esame dei presupposti per chiedere la restituzione e del termine di prescrizione</w:t>
      </w:r>
    </w:p>
    <w:p>
      <w:pPr>
        <w:pStyle w:val="Heading2"/>
      </w:pPr>
      <w:r>
        <w:t>Erwägungen</w:t>
      </w:r>
    </w:p>
    <w:p>
      <w:r>
        <w:rPr>
          <w:b/>
        </w:rPr>
        <w:t>E. 2</w:t>
      </w:r>
    </w:p>
    <w:p>
      <w:r>
        <w:t>l'autorità ha agito o creduto di agire nei limiti delle proprie competenze;</w:t>
      </w:r>
    </w:p>
    <w:p>
      <w:r>
        <w:rPr>
          <w:b/>
        </w:rPr>
        <w:t>E. 3</w:t>
      </w:r>
    </w:p>
    <w:p>
      <w:r>
        <w:t>l'assicurato non deve essersi reso conto immediatamente dell'inesattezza dell'informazione ricevuta;</w:t>
      </w:r>
    </w:p>
    <w:p>
      <w:r>
        <w:rPr>
          <w:b/>
        </w:rPr>
        <w:t>E. 4</w:t>
      </w:r>
    </w:p>
    <w:p>
      <w:r>
        <w:t>l'informazione errata ha indotto l'assicurato ad adottare un comportamento o un omissione che gli è pregiudizievole;</w:t>
      </w:r>
    </w:p>
    <w:p>
      <w:r>
        <w:rPr>
          <w:b/>
        </w:rPr>
        <w:t>E. 5</w:t>
      </w:r>
    </w:p>
    <w:p>
      <w:r>
        <w:t>la legge non è stata modificata dal momento in cui l'informazione è stata data.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Nell'evenienza concreta tuttavia i presupposti per la protezione della buona fede non sono dati. Infatti non risulta dagli atti che l'amministrazione sia intervenuta in una situazione concreta presso l'insorgente dandogli un'informazione errata. Affermando di non conoscere il diritto sociale svizzero, di non parlare italiano e tedesco e non essere stata informata che un eventuale matrimonio avrebbe messo fine al versamento della rendita, l’insorgente invoca implicitamente la violazione dell’art. 27 cpv. 1 LPGA entrato in vigore il 1° gennaio 2003 e secondo il quale gli assicuratori e gli organi esecutivi delle singole assicurazioni sociali, nei limiti delle loro competenze, sono tenuti ad informare le persone interessate sui loro diritti e obblighi. Questa norma non è tuttavia applicabile al caso concreto giacché l’insorgente è convolata a nozze il __________ quando la LPGA non era ancora in vigore. Per cui va applicato il principio secondo il quale nessuno può prevalersi dell’ignoranza della legge. In questo senso la buona fede della ricorrente non è data. Per quanto concerne la questione della negligenza grave, contestata con lo scritto del 27 giugno 2009, va rilevato che la questione andrà trattata nell’ambito dell’esame dell’opposizione contro la decisione di condono del 19 giugno 2009. Va infatti rammentato che per quanto riguarda i presupposti del condono,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del 15 marzo 2004 nella causa P.-B., C 292/02, consid. 2.3.; SVR 2003 IV Nr. 4 pag. 10; SVR 2002 EL Nr. 9 pag. 21-22; Pratique VSI 1994 p. 126; DTF 122 V 221 = Pratique VSI 1996 pag. 269). La buona fede non è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del 20 giugno 2005 nella causa C., P. 42/04, consid. 2.2.; STFA del 15 marzo 2004 nella causa P.-B., C 292/02, consid. 2.3.; SVR 2003 IV Nr. 4 pag. 10;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11.   Alla luce di tutto quanto sopra esposto la decisione impugnata deve essere confermata, giacché la Cassa ha chiesto a ragione la restituzione delle prestazioni versate a torto e il principio della buona fede non è stato violato (cfr. sentenza 9C-59/2007 del 30 gennaio 2008, consid. 6). Lo scritto del 27 giugno 2009 va tuttavia trasmesso alla Cassa CO 1 affinché entri nel merito dell’opposizione alla decisione del 19 giugno 2009 (cfr. sentenza 9C-59/2007 del 30 gennaio 2008, consid. 6). Contro la decisione su opposizione in ambito di condono l’interessata potrà ricorrere al TCA nei tempi e nei modi che saranno indicati in calce al provvedimento. 12.   La ricorrente ha chiesto “ la possibilità di un’audizione per poter spiegare personalmente le mie ragioni e la mia situazione. ” (doc. VI).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9C_578/2008 del 29 maggio 2009; sentenza I 472/06 del 21 agosto 2007; nonché DTF 122 V 47; cfr. pure DTF 124 V 90, consid. 6, pag. 94 e il rinvio alla DTF prima citata). In concreto, non essendo stata presentata una domanda espressa di procedere ad un’udienza pubblica (l’assicurata ha presentato una generica istanza di udienza di discussione e quindi ha formulato unicamente una richiesta di prova), questo TCA rinuncia ad una sua audizione poiché superflua ai fini dell’esito della vertenza (cfr. sentenza del 21 agosto 2007, I 472/06, consid. 2).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ed a sentire 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