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30.2008.123 vom 16. Mai 2008</w:t>
      </w:r>
    </w:p>
    <w:p>
      <w:r>
        <w:t>TI Tribunale d'appello, 2008-05-16, IT</w:t>
      </w:r>
    </w:p>
    <w:p>
      <w:r>
        <w:rPr>
          <w:b/>
        </w:rPr>
        <w:t xml:space="preserve">Quelle: </w:t>
      </w:r>
      <w:r>
        <w:t>https://mcp.opencaselaw.ch/entscheid/ti_gerichte_30.2008.123</w:t>
      </w:r>
    </w:p>
    <w:p>
      <w:r>
        <w:t>FR: TI_GERICHTE 30.2008.123 du 16 mai 2008</w:t>
      </w:r>
    </w:p>
    <w:p>
      <w:r>
        <w:t>IT: TI_GERICHTE 30.2008.123 del 16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LCStr; 65 cpv. 5, 79 cpv. 4 OSStr; 1 segg. LMD; 1 segg. LPContr;</w:t>
      </w:r>
    </w:p>
    <w:p>
      <w:r>
        <w:t>pronuncia:                1.Il ricorso è respinto e la decisione impugnata è confermata.</w:t>
      </w:r>
    </w:p>
    <w:p>
      <w:r>
        <w:t>2.La tassa di giudizio di fr. 50.-- e le spese di fr. 50.-- sono a carico della ricorrente.</w:t>
      </w:r>
    </w:p>
    <w:p>
      <w:r>
        <w:t>3.Intimazione a: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Avvertenza:contro il presente giudizio può essere interposto ricorso in materia penale al Tribunale federale di Losanna (art. 78 e segg. LTF) per i motivi previsti dagli art. 95 e 97 LTF, entro 30 giorni dalla notificazione (art. 100 cpv. 1 LTF).</w:t>
      </w:r>
    </w:p>
    <w:p>
      <w:r>
        <w:rPr>
          <w:b/>
        </w:rPr>
        <w:t>E. 2</w:t>
      </w:r>
    </w:p>
    <w:p>
      <w:r>
        <w:t>La tassa di giudizio di fr. 50.-- e le spese di fr. 50.-- sono a carico della ricorrente.</w:t>
      </w:r>
    </w:p>
    <w:p>
      <w:r>
        <w:rPr>
          <w:b/>
        </w:rPr>
        <w:t>E. 3</w:t>
      </w:r>
    </w:p>
    <w:p>
      <w:r>
        <w:t>Intimazione a: Il giudice:                                                                                 Il segretario: Avvertenza: contro il presente giudizio può essere interposto ricorso in materia penale al Tribunale federale di Losanna (art. 78 e segg. LTF) per i motivi previsti dagli art. 95 e 97 LTF, entro 30 giorni dalla notificazione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