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30.2007.94 vom 10. Juni 2008</w:t>
      </w:r>
    </w:p>
    <w:p>
      <w:r>
        <w:t>TI Tribunale d'appello, 2008-06-10, IT</w:t>
      </w:r>
    </w:p>
    <w:p>
      <w:r>
        <w:rPr>
          <w:b/>
        </w:rPr>
        <w:t xml:space="preserve">Quelle: </w:t>
      </w:r>
      <w:r>
        <w:t>https://mcp.opencaselaw.ch/entscheid/ti_gerichte_30.2007.94</w:t>
      </w:r>
    </w:p>
    <w:p>
      <w:r>
        <w:t>FR: TI_GERICHTE 30.2007.94 du 10 juin 2008</w:t>
      </w:r>
    </w:p>
    <w:p>
      <w:r>
        <w:t>IT: TI_GERICHTE 30.2007.94 del 10 giugno 2008</w:t>
      </w:r>
    </w:p>
    <w:p>
      <w:pPr>
        <w:pStyle w:val="Heading2"/>
      </w:pPr>
      <w:r>
        <w:t>Erwägungen</w:t>
      </w:r>
    </w:p>
    <w:p>
      <w:r>
        <w:rPr>
          <w:b/>
        </w:rPr>
        <w:t>E. 6</w:t>
      </w:r>
    </w:p>
    <w:p>
      <w:r>
        <w:t>Qualora si tenesse comunque per veritiera la fantomatica tesi del ricorrente, la conclusione non muterebbe. In effetti, come la giurisprudenza ha già avuto modo di dire, spetta innanzitutto al conducente tenere conto delle condizioni della rete stradale ed adeguare la velocità alla situazione concreta. Posto che ad una temperatura di circa zero gradi la formazione di ghiaccio sulle strada bagnate (umide) è prevedibile, egli è tenuto – in simili circostanze – a rallentare la sua andatura e, se necessario, a viaggiare a passo d’uomo (DTF 129 III 65, consid. 1.3). Allo stesso modo, la dottrina afferma che circolando su una strada coperta di ghiaccio il conducente deve far uso di ogni precauzione per impedire che il suo veicolo sbandi e, in quanto necessario, deve farlo procedendo a passo d’uomo (cfr. Bussy/Rusconi , op. cit., n. 1.6 lett. d ad art. 32 cpv. 1 LCStr; massima invero riferita alla velocità inadeguata, ma di pertinenza per quel che attiene alla perdita di padronanza di guida). In altri termini, vi è negligenza da parte del conducente laddove le circostanze concrete avrebbero dovuto indurlo a prevedere la presenza di ghiaccio; in particolare in inverno, quando vi sono temperature al di sotto dello zero e il manto stradale umido, egli deve prevedere, anche se è stato sparso del sale, la presenza di ghiaccio e quindi adattare la velocità e la sua attenzione alle circostanze del caso (DTF 115 IV 241 consid. 2).</w:t>
      </w:r>
    </w:p>
    <w:p>
      <w:r>
        <w:rPr>
          <w:b/>
        </w:rPr>
        <w:t>E. 7</w:t>
      </w:r>
    </w:p>
    <w:p>
      <w:r>
        <w:t>Nella fattispecie, dal rapporto di constatazione dell’incidente della Polizia cantonale 2 gennaio 2007, risulta che l’incidente è avvenuto il 23 dicembre 2006, ossia in inverno, di notte (ore 20.45), su un tratto di strada umido. Nel verbale d’interrogatorio 23 dicembre 2006, il ricorrente fa notare che il fondo stradale presentava una temperatura molto bassa. Nel rapporto di contro-osservazioni 17 febbraio 2007 della Polizia cantonale, risulta inoltre che “ la strada … era sì umida e scivolosa dal fatto che sulla stessa era stato cosparso del sale. ” Visto quanto precede, gli argomenti apportati dal ricorrente non sono liberatori, poiché la presenza di ghiaccio è un fatto prevedibile e quindi non inusuale. La perdita di padronanza del veicolo non sarebbe in ogni caso imputabile a una causa straordinaria e imprevedibile, ma solamente al comportamento da lui adottato: il buono stato del veicolo, le gomme invernali, l’esperienza di guida, l’assenza d’alcool nel sangue e un’asserta velocità di 30-40 km/h non sono sufficienti per ritenere il comportamento dell’insorgente adeguato al suo dovere di prudenza. Uscendo dal percorso rotatorio avrebbe dovuto prestare maggiore attenzione allo stato della strada, adattando la sua guida di conseguenza, ciò che gli avrebbe sicuramente evitato di perdere il controllo del veicolo. Si noti, come detto, che la Polizia cantonale ha percorso lo stesso tratto stradale, senza sbandare. Era dunque possibile transitare sul tratto stradale in questione, senza incorrere in alcuna infrazione. In conclusione, l’insorgente non evoca circostanze né adduce giustificazioni tali da consentire a questo giudice di scostarsi dalla decisione impugnata.</w:t>
      </w:r>
    </w:p>
    <w:p>
      <w:r>
        <w:rPr>
          <w:b/>
        </w:rPr>
        <w:t>E. 8</w:t>
      </w:r>
    </w:p>
    <w:p>
      <w:r>
        <w:t>.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30 cpv. 1, 90 cifra 1 LCStr; 3 cpv. 1 ONC; 1 segg. LPContr; dichiara e pronuncia:                1. Il ricorso è respinto e la decisione impugnata confermata. 2. La tassa di giustizia di fr. 200.- e le spese di fr. 50.- sono a carico ricorrente. 3. Intimazione a: Il presidente:                                                                            La segretaria: Avvertenza: contro il presente giudizio può essere interposto ricorso in materia penale al Tribunale federale di Losanna (art. 78 e segg. LTF) entro 30 giorni dalla notificazione (art. 100 cpv. 1 LTF). 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