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30.2007.70 vom 15. März 2007</w:t>
      </w:r>
    </w:p>
    <w:p>
      <w:r>
        <w:t>TI Tribunale d'appello, 2007-03-15, IT</w:t>
      </w:r>
    </w:p>
    <w:p>
      <w:r>
        <w:rPr>
          <w:b/>
        </w:rPr>
        <w:t xml:space="preserve">Quelle: </w:t>
      </w:r>
      <w:r>
        <w:t>https://mcp.opencaselaw.ch/entscheid/ti_gerichte_30.2007.70_d20070315</w:t>
      </w:r>
    </w:p>
    <w:p>
      <w:r>
        <w:t>FR: TI_GERICHTE 30.2007.70 du 15 mars 2007</w:t>
      </w:r>
    </w:p>
    <w:p>
      <w:r>
        <w:t>IT: TI_GERICHTE 30.2007.70 del 15 marzo 2007</w:t>
      </w:r>
    </w:p>
    <w:p>
      <w:pPr>
        <w:pStyle w:val="Heading2"/>
      </w:pPr>
      <w:r>
        <w:t>Regeste</w:t>
      </w:r>
    </w:p>
    <w:p>
      <w:r>
        <w:t>Richiesta di un assegno per grandi invalidi respinta non essendo ancora passato un anno dall'asserità grande invalidità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2.   Nella sua opposizione, il marito della ricorrente ha affermato “ se mi concedete di presentarla oralmente per un colloquio per rendersi conto della malattia. ” (doc. 14.-1). La convocazione non sembra aver avuto luogo.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1.2</w:t>
      </w:r>
    </w:p>
    <w:p>
      <w:r>
        <w:t>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la ricorrente, in sede di ricorso, ha ancora potuto far valere le proprie ragioni innanzi ad un’autorità giudiziaria che gode del pieno potere cognitivo. Per cui l’eventuale violazione del diritto di essere sentita, peraltro neppure sollevata in sede ricorsuale, è stata comunque sanata dal TCA dove l’insorgente ha ribadito le sue argomentazioni (DTF 133 I 201 consid. 2.2; DTF 127 V 431). Del resto, ancora recentemente, il TF, con sentenza dell’8 ottobre 2007 (I 688/06), ha affermato che “ da un rinvio degli atti all’amministrazione per garantire il diritto di essere sentito si può infatti – eccezionalmente (DTF 127 V 431 consid. 3d/aa pag. 437; 126 I 72; 126 V 130 consid. 2b pag. 132 con riferimenti) – prescindere se il rinvio si esaurirebbe in un vuoto esercizio procedurale e ritarderebbe inutilmente la procedura, in contrasto con l’interesse della parte lesa ad ottenere un giudizio in tempi rapidi (…). Orbene, questa Corte ha più volte osservato che se l’assicurato nella procedura precedente non ha formulato una richiesta di rinvio degli atti all’amministrazione a garanzia del suo diritto di essere sentito, ciò lascia concludere per un suo maggiore interesse a una rapida evasione della causa piuttosto che a un’esecuzione formalmente corretta della procedura ed osta pertanto all’annullamento dell’atto impugnato e al rinvio della causa all’amministrazione per rimediare al vizio (…) ”. E’ quanto si deve ritenere anche nel caso di specie. nel merito 3.   Ai sensi dell'art. 43bis cpv. 1 LAVS hanno diritto all'assegno per grandi invalidi i beneficiari di rendite di vecchiaia o di prestazioni complementari con domicilio e dimora abituale (art. 13 LPGA) in Svizzera, che presentano un'invalidità (art. 9 LPGA) di grado elevato o medio. La rendita di vecchiaia anticipata è parificata al godimento di una rendita di vecchiaia. Per l'art. 43bis cpv. 2 LAVS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Il cpv. 3 prevede che l'assegno per grandi invalidi di grado elevato ammonta all'80 per cento, quello per grandi invalidi di grado medio al 50 per cento dell'importo minimo della rendita di vecchiaia previsto dall'articolo 34 capoverso 5. Va ancora rilevato che per il cpv. 5 le disposizioni della LAI sono applicabili, per analogia, alla valutazione della grande invalidità. Spetta agli uffici per l'assicurazione invalidità di determinare, per le casse di compensazione, il grado della grande invalidità. Il Consiglio federale può promulgare prescrizioni complementari. A norma dell’art. 46 cpv. 2 LAVS se l’assicurato fa valere un assegno per grandi invalidi più di dodici mesi dopo il sorgere di tale diritto, l’assegno gli è pagato soltanto per i dodici mesi precedenti la richiesta, in deroga all’art. 24 capoverso 1 LPGA. Sono accordati pagamenti retroattivi per periodi più lunghi, se l’assicurato non poteva conoscere i fatti determinanti il suo diritto alle prestazioni e se egli presenta la sua richiesta entro dodici mesi a partire dal momento in cui ha avuto conoscenza di tali fatti. Per l’art. 9 LPGA è considerato grande invalido colui che, a causa di un danno alla salute, ha bisogno in modo permanente dell'aiuto di terzi o di una sorveglianza personale per compiere gli atti ordinari della vita. L'art. 37 OAI distingue tre gradi di grande invalidità: la grande invalidità è reputata di grado elevato se l’assicurato è totalmente grande invalido. Questo è il caso quando necessita dell’aiuto regolare e notevole di terzi per compiere gli atti ordinari della vita e il suo stato richiede inoltre cure permanenti o una sorveglianza personale (cpv. 1). La grande invalidità è di grado medio se l’assicurato, pur munito di mezzi ausiliari, necessita (cpv. 2): a. di aiuto regolare e notevole di terzi per compiere la maggior parte degli atti ordinari della vita; b. di aiuto regolare e notevole di terzi per compiere almeno due atti ordinari della vita e abbisogna inoltre di una sorveglianza personale permanente; o c. di aiuto regolare e notevole di terzi per compiere almeno due atti ordinari della vita e abbisogna, inoltre, di un accompagnamento permanente nell’organizzazione della realtà quotidiana ai sensi dell’articolo 38.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dell’articolo 38. A norma dell’art. 38 cpv. 1 OAI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4.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5.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consid.4b). 6.   In concreto la Cassa ha rifiutato di mettere la ricorrente al beneficio di un assegno per grandi invalidi dell’AVS, poiché non è ancora trascorso un anno da quando l’assicurata ha iniziato a necessitare dell’aiuto di terzi per almeno due atti ordinari della vita (cfr. art. 37 cpv. 2 lett. a e b OAI). Dalla “ richiesta e questionario relativi a un assegno per persone grandi invalide dell’AVS o dell’AI ”, del 14 luglio 2007, emerge che alle domande riguardanti la grande invalidità, il marito, in rappresentanza della richiedente, ha indicato che l’interessata necessita dell’aiuto regolare e notevole di terzi da 6 mesi (ossia da gennaio 2007), per vestirsi/svestirsi, alzarsi/sedersi/coricarsi, mangiare e 4 mesi (ossia dal marzo 2007) per lavarsi, riordinare i vestiti, eseguire la pulizia corporale/controllare la pulizia, andare al gabinetto (doc. 10-3). Il Dott. med. __________, medico curante dell’insorgente, il 25 luglio 2007 ha apportato alcune precisazioni (doc. 12-1). In particolare ha indicato che la ricorrente necessita in modo duraturo e regolare d’accompagnamento nell’organizzazione della realtà quotidiana con prestazioni d’aiuto che permettono di vivere in modo autonomo, di accompagnamento per le attività ed i contatti al di fuori dell’abitazione e della presenza regolare di terze persone per evitare il rischio d’isolamento duraturo. Il curante ha evidenziato che tutte queste necessità sono sorte dal mese di dicembre 2006, che l’accompagnamento viene assicurato dal marito, dal figlio ed in parte dall’infermiere domiciliare (doc. 12-2). Dalle affermazioni del marito e del medico curante risulta che l’interessata necessita di aiuto regolare di terzi per almeno due atti ordinari della vita e di una sorveglianza personale permanente, ciò che darebbe diritto ad almeno un assegno di grado medio, al più presto da dicembre 2006/gennaio 2007. Per cui, quando è stata emanata la decisione su opposizione, che delimita il momento in cui il Giudice deve posizionarsi per valutare la legittimità del provvedimento amministrativo (DTF 109 V 179, DTF 107 V 5), l’assicurata non era ancora grande invalida di grado elevato o medio da almeno un anno senza interruzione. Ne discende che la decisione è corretta, mentre il ricorso va respinto. Essendo nel frattempo trascorso un anno da quando l’interessata afferma di necessitare dell’aiuto notevole di terzi per almeno due atti ordinari della vita e di una sorveglianza personale permanente, l’insorgente è invitata a trasmettere una nuova richiesta alla Cassa CO 1, la quale dovrà verificare se sono dati tutti i presupposti per erogare l’assegno richiesto.</w:t>
      </w:r>
    </w:p>
    <w:p>
      <w:r>
        <w:rPr>
          <w:b/>
        </w:rPr>
        <w:t>E. 4</w:t>
      </w:r>
    </w:p>
    <w:p>
      <w:r>
        <w:t>cpv. 1 vCost., la cui giurisprudenza si applica anche alla nuova norma, DTF 126 I 16 consid. 2a/aa,  124 V 181 consid. 1a, 375 consid. 3b e sentenze ivi citate). In una sentenza C 128/04 del 20 settembre 2005  il TFA (dal 1° gennaio 2007: TF) ha rammentato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