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30.2007.66 vom 16. Februar 2007</w:t>
      </w:r>
    </w:p>
    <w:p>
      <w:r>
        <w:t>TI Tribunale d'appello, 2007-02-16, IT</w:t>
      </w:r>
    </w:p>
    <w:p>
      <w:r>
        <w:rPr>
          <w:b/>
        </w:rPr>
        <w:t xml:space="preserve">Quelle: </w:t>
      </w:r>
      <w:r>
        <w:t>https://mcp.opencaselaw.ch/entscheid/ti_gerichte_30.2007.66_d20070216</w:t>
      </w:r>
    </w:p>
    <w:p>
      <w:r>
        <w:t>FR: TI_GERICHTE 30.2007.66 du 16 février 2007</w:t>
      </w:r>
    </w:p>
    <w:p>
      <w:r>
        <w:t>IT: TI_GERICHTE 30.2007.66 del 16 febbraio 2007</w:t>
      </w:r>
    </w:p>
    <w:p>
      <w:pPr>
        <w:pStyle w:val="Heading2"/>
      </w:pPr>
      <w:r>
        <w:t>Regeste</w:t>
      </w:r>
    </w:p>
    <w:p>
      <w:r>
        <w:t>Omettere di iscrivere sul foglio di controllo, immediatamente sul posto dell'uccisione, un cervo maschio adulto; risarcimenro del danno; confisca del trofeo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parzialmente accolto e il dispositivo della decisione impugnata è riformato nel senso che il signor RI 1 è inflitta una multa di fr. 200.-- oltre alle tasse e spese di giustizia di complessivi fr. 20.--. Il trofeo del cervo maschio viene dissequestrato a suo favore.</w:t>
      </w:r>
    </w:p>
    <w:p>
      <w:r>
        <w:rPr>
          <w:b/>
        </w:rPr>
        <w:t>E. 2</w:t>
      </w:r>
    </w:p>
    <w:p>
      <w:r>
        <w:t>Non si prelevano né tasse né spese dell’odierno giudizio. Non si assegnano ripetibili.</w:t>
      </w:r>
    </w:p>
    <w:p>
      <w:r>
        <w:rPr>
          <w:b/>
        </w:rPr>
        <w:t>E. 3</w:t>
      </w:r>
    </w:p>
    <w:p>
      <w:r>
        <w:t>Intimazione a: , . Il giudice:                                                                                 La segretaria: Avvertenza: contro il presente giudizio può essere interposto ricorso in materia penale al Tribunale federale di Losanna (art. 78 e segg. LTF) entro 30 giorni dalla notificazione (art. 100 cpv. 1 LTF). Entro lo stesso termine può essere, con medesima istanza, interposto ricorso in materia costituzionale (art. 119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