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30.2007.61 vom 2. März 2010</w:t>
      </w:r>
    </w:p>
    <w:p>
      <w:r>
        <w:t>TI Tribunale d'appello, 2010-03-02, IT</w:t>
      </w:r>
    </w:p>
    <w:p>
      <w:r>
        <w:rPr>
          <w:b/>
        </w:rPr>
        <w:t xml:space="preserve">Quelle: </w:t>
      </w:r>
      <w:r>
        <w:t>https://mcp.opencaselaw.ch/entscheid/ti_gerichte_30.2007.61</w:t>
      </w:r>
    </w:p>
    <w:p>
      <w:r>
        <w:t>FR: TI_GERICHTE 30.2007.61 du 2 mars 2010</w:t>
      </w:r>
    </w:p>
    <w:p>
      <w:r>
        <w:t>IT: TI_GERICHTE 30.2007.61 del 2 marzo 2010</w:t>
      </w:r>
    </w:p>
    <w:p>
      <w:pPr>
        <w:pStyle w:val="Heading2"/>
      </w:pPr>
      <w:r>
        <w:t>Erwägungen</w:t>
      </w:r>
    </w:p>
    <w:p>
      <w:r>
        <w:rPr>
          <w:b/>
        </w:rPr>
        <w:t>E. 2</w:t>
      </w:r>
    </w:p>
    <w:p>
      <w:r>
        <w:t>Sono assicurate obbligatoriamente in conformità alla Legge federale sull'assicurazione per la vecchiaia e per i superstiti le persone fisiche che hanno il loro domicilio civile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3.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Nei Cantoni con tassazione biennale prenumerando, per i due anni di contribuzione precedenti è determinante il capitale proprio investito al 1° gennaio di ogni anno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5.   Per giurisprudenza costante del TFA, ogni tassazione fiscale è presunta conforme alla realtà: le Casse di compensazione sono vincolate dalle comunicazioni delle Autorità di tassazione ed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ed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(dal 1° gennaio 2007: TF) ha comunque precisato che la comunicazione fiscale è vincolante per l'Amministrazione e per il giudice delle assicurazioni sociali solo per quanto attiene alla determinazione degli importi . Le questioni relative alla qualificazione giuridica costituiscono un'eccezione a questa disposizione (Pratique VSI 1993, pag. 242 segg.). 6.   In concreto, l’insorgente aveva chiesto, il 25 febbraio 2003, di essere iscritto nella categoria degli indipendenti quale consulente commerciale e aveva indicato di poter conseguire un reddito annuo di fr. 30'000. Con il 31 dicembre 2004 l’assicurato è stato stralciato dalla categoria degli indipendenti poiché ha iniziato un’attività dipendente. Per fissare i contributi relativi all’anno 2003 occorre determinare il reddito conseguito dall ' assicurato durante quell’anno (art. 22 cpv. 1 OAVS), facendo capo alla tassazione fiscale 2003B. Dalla medesima emerge che l’insorgente è stato tassato sulla base di un importo di fr. 100'000 alla voce “ altri redditi ” (7.3). Non è invece stato tassato nessun reddito aziendale derivante da attività indipendente. Con scritto del 29 maggio 2007 l’Ufficio di tassazione ha comunicato alla cassa un reddito proveniente dall’esercizio di un’attività indipendente principale e/o accessoria di fr. 100'000  (doc. 1). In seguito all’opposizione presentata dall’insorgente, il quale ha affermato di non aver conseguito alcun reddito tramite la sua società, la Cassa ha interpellato l’autorità fiscale per sapere se l’importo notificato deriva dal dispendio oppure dal reddito aziendale conseguito dall’interessato (doc. 2). L’autorità fiscale ha affermato che “ per quanto riguarda l’importo di fr. 100'000 esposto come altro reddito nella decisione, trattasi di prestazione valutata per insufficienza di disponibilità finanziaria. ” (doc. 2). In sede di ricorso il TCA ha richiamato l’incarto fiscale dell’interessato dal quale emerge che l’autorità fiscale non ha tassato l’insorgente per il suo reddito aziendale, bensì quale reddito d’altra fonte, precisando che si tratta di “ prestazioni valutabili in denaro o reddito d’altra fonte stabiliti per insufficienza di disponibilità finanziaria ” (doc. XII). Alla luce di quanto sopra esposto il reddito di fr. 100'000 non deriva dalla tassazione del reddito da attività indipendente, ciò che avrebbe legittimato l’agire della Cassa (cfr. consid. 5), bensì dalla tassazione di prestazioni valutate dall’autorità fiscale per insufficienza della disponibilità finanziaria del ricorrente. In queste condizioni la decisione impugnata non può essere confermata. In accoglimento del ricorso la decisione va annullata e l’incarto rinviato alla Cassa affinché ricalcoli il contributo dovuto dall’assicurato nel 2003 per la sua attività indipendente.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