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30.2007.4 vom 2. Mai 2007</w:t>
      </w:r>
    </w:p>
    <w:p>
      <w:r>
        <w:t>TI Tribunale d'appello, 2007-05-02, IT</w:t>
      </w:r>
    </w:p>
    <w:p>
      <w:r>
        <w:rPr>
          <w:b/>
        </w:rPr>
        <w:t xml:space="preserve">Quelle: </w:t>
      </w:r>
      <w:r>
        <w:t>https://mcp.opencaselaw.ch/entscheid/ti_gerichte_30.2007.4</w:t>
      </w:r>
    </w:p>
    <w:p>
      <w:r>
        <w:t>FR: TI_GERICHTE 30.2007.4 du 2 mai 2007</w:t>
      </w:r>
    </w:p>
    <w:p>
      <w:r>
        <w:t>IT: TI_GERICHTE 30.2007.4 del 2 maggio 2007</w:t>
      </w:r>
    </w:p>
    <w:p>
      <w:pPr>
        <w:pStyle w:val="Heading2"/>
      </w:pPr>
      <w:r>
        <w:t>Regeste</w:t>
      </w:r>
    </w:p>
    <w:p>
      <w:r>
        <w:t>Commercio professionale d'immobili. Assoggettamento al prelievo dei contributi sociali. Contestazione dell'ammontare dell'importo soggetto a contribuzione.</w:t>
      </w:r>
    </w:p>
    <w:p>
      <w:pPr>
        <w:pStyle w:val="Heading2"/>
      </w:pPr>
      <w:r>
        <w:t>Erwägungen</w:t>
      </w:r>
    </w:p>
    <w:p>
      <w:r>
        <w:rPr>
          <w:b/>
        </w:rPr>
        <w:t>E. 2</w:t>
      </w:r>
    </w:p>
    <w:p>
      <w:r>
        <w:t>LIFD e gli utili conseguiti con l’alienazione di fondi agricoli e silvicoli giusta l’art. 18 cpv. 4 LIFD, con il 1° gennaio 2001 è entrata in vigore una modifica di tale disposto nel senso che sono eccettuati i redditi da partecipazione dichiarati quali sostanza commerciale ai sensi dell'art. 18 cpv. 2 LIFD, 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l'imponibilità degli utili provenienti da commercio professionale di beni, in particolare immobili e titoli (DTF 125 II 113), l'Alta Corte ha posto l'accento sul fatto che l'art. 16 cpv. 1 LIFD dichiara imponibile " la totalità dei proventi, periodici e unici " e afferma pertanto il principio dell'imposizione del reddito netto complessivo. Esenti sono invece secondo l'art. 16 cpv. 3 LIFD solo gli utili in capitale " conseguiti nella realizzazione di sostanza privata ":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 va infine ricordato che secondo la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(DTF 112 Ib 81 consid. 2a e rif.; STF 2P.56/2000 del 27 marzo 2001).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Per stabilire se si è o no in presenza di un commercio professionale d'immobili, si deve tenere conto dell'insieme delle circostanze del caso concreto (cfr. DTF 125 II 113 consid. 3c e 6a), nel caso di specie l’insorgente non contesta più l’assoggettamento del reddito conseguito nel 2001 e nel 2002 quale commercio professionale d’immobili, ma chiede solo che l’ammontare del guadagno conseguito sia ridotto conformemente alla comunicazione dell’autorità fiscale (doc. XIV), i contributi sono fissati per ciascun anno di contribuzione. Per anno di contribuzione si intende l'anno civile (art. 22 cpv. 1 OAVS), i contributi sono calcolati sul reddito conseguito effettivamente durante l'anno di contribuzione e sul capitale proprio investito nell'azienda al 31 dicembre. Nei Cantoni con tassazione biennale prenumerando, per i due anni di contribuzione precedenti è determinante il capitale proprio investito al 1° gennaio di ogni anno (art. 22 cpv. 2 OAVS), il reddito dell'anno di contribuzione è stabilito secondo il risultato dell'esercizio commerciale chiuso o degli esercizi commerciali chiusi in quell'anno (art. 22 cpv. 3 OAVS), se in un anno di contribuzione non si è proceduto alla chiusura dei conti, il reddito dell'esercizio commerciale va ripartito sugli anni di contribuzione conformemente alla sua durata (art. 22 cpv. 4 OAVS), se l'esercizio commerciale non corrisponde all'anno di contribuzione, è determinante il capitale proprio investito nell'azienda alla fine dell'esercizio commerciale (art. 22 cpv. 5 OAVS),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tassazione intermedia o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nella fattispecie, per fissare i contributi portanti sugli anni 2001 e 2002, occorre determinare il reddito conseguito dall ' assicurato durante quel medesimo anno (art. 22 cpv. 1 OAVS), facendo capo alla tassazione 2003A, in proposito, va osservato che la dichiarazione di tassazione 2003A è particolare rispetto alle precedenti e alle successive dichiarazioni. In effetti, nel corso del 2003 i contribuenti domiciliati nel Cantone Ticino hanno dovuto indicare il reddito ordinario effettivamente conseguito negli anni 2001 e 2002, ben sapendo però di non essere in realtà tassati su quegli importi, trattandosi del periodo di transizione dal sistema di tassazione biennale prenumerando al sistema di tassazione annuale postnumerando . Di conseguenza, a meno di aver esposto dei redditi e delle spese straordinarie, i contribuenti non hanno ricevuto una decisione formale (notifica di tassazione) in cui sono stati stabiliti il reddito imponibile ed il corrispettivo importo da versare a titolo di imposta. L’autorità fiscale trasmetteva soltanto una comunicazione standard, con cui semplicemente avvisava, qualora fosse il caso, che non erano state registrate delle entrate/uscite straordinarie. Non essendo, quindi, tale avviso, una decisione formale, nemmeno erano menzionati i mezzi di diritto da utilizzare in caso di impugnativa, in queste condizioni questa dichiarazione standard dell’autorità di tassazione non ha il medesimo valore delle attestazioni rilasciate per gli altri anni, s ulla scorta delle summenzionate circostanze, questa particolare informazione fornita dall’Ufficio di tassazione non deve essere considerata vincolante né per l’Amministrazione né per il giudice (art. 23 cpv. 4 OAVS), tanto più che, in qualità di semplice comunicazione, essa neppure può crescere in giudicato. Il TCA è quindi legittimato a scostarsi dagli elementi esibiti da un Ufficio di tassazione, qualora essi appaiano inesatti. Sebbene, quindi, un’errata indicazione del reddito non avesse importanza a livello fiscale, i dati figuranti nella tassazione 2003A hanno invece rilevanza dal profilo delle assicurazioni sociali, nel caso di specie il</w:t>
      </w:r>
    </w:p>
    <w:p>
      <w:r>
        <w:rPr>
          <w:b/>
        </w:rPr>
        <w:t>E. 7</w:t>
      </w:r>
    </w:p>
    <w:p>
      <w:r>
        <w:t>novembre 2006 l’autorità fiscale ha comunicato alla Cassa quanto segue: “(…) vi informiamo che i dati comunicativi relativi alla dichiarazione 2003 A (anni di guadagno 2001 e 2002) sono da ritenere validi; gli stessi ammontano a: fr. 230'000.- per il 2001 e a fr. 800'000.- per il 2002. Si tratta di un reddito aziendale del contribuente conseguito in questi 2 anni mediante diverse transazioni immobiliari (per i dettagli vi alleghiamo una copia del foglio con l’indicazione di tutte le transazioni effettuate con i relativi utili o perdite conseguite). A questo proposito attiriamo la vostra attenzione sul fatto che malgrado il Signor RI 1 risulta stipendiato dalla __________ già negli anni precedenti, per quanto concerne l’imposta federale diretta, erano stati imposti dei redditi aziendali derivanti dal commercio professionale d’immobili (reddito 2000 fr. 307'763.-).” (doc. 3), il 14 aprile 2007 l’insorgente ha trasmesso al TCA uno scritto del 6 febbraio 2007 dell’Ufficio di tassazione di __________, del seguente tenore: “ Vi informiamo che dopo esame della documentazione presentata in occasione del nostro incontro del 1 febbraio 2007 e come richiesto nel vostro scritto del 5 febbraio 2007 il nostro ufficio ha proceduto a un riesame del calcolo effettuato nella determinazione dei redditi aziendali del Signor RI 1 negli anni di computo 2001 e 2002. Questo riesame è dovuto in particolar modo in quanto i redditi da commercio professionale d’immobili degli anni 2001 e 2002, anni che fiscalmente sono caduti in un vuoto di tassazione, non sono stati oggetto di una tassazione e quindi il contribuente Signor RI 1 non ha potuto contestarli, ma è venuto a conoscenza degli importi da noi calcolati, unicamente in conseguenza di un assoggettamento degli stessi all’AVS. Sulla base dei nuovi elementi presentati i redditi da noi comunicati in precedenza sono così rettificati: Reddito aziendale 2001          fr. 200'000.—(invece di fr. 230'000.--) Reddito aziendale 2002    fr. 500'000.—(invece di fr. 800'000.--)” (doc. XIII Bis), sulla base della rettifica dell’ufficio di tassazione il ricorrente ha affermato: “(….) dopo aver chiarito la situazione e conferito per la definizione dei redditi con l’Ufficio circondariale di tassazione di __________, il mio cliente è d’accordo nella definizione dei redditi aziendali 2001 e 2002 nella misura di quanto proposto dall’UT medesimo di cui la copia allegata e più precisamente: reddito aziendale 2001                                         fr. 200'000.— reddito aziendale 2002                                                fr. 500'000.— In questo senso vi prego di evadere il ricorso e di inviarmi la relativa decisione al riguardo.” (doc. XIII), con osservazioni del 17 aprile 2007 la Cassa ha dichiarato anch’essa di essere: “d’accordo di rettificare le decisioni 2001 e 2002 contestate, in base alle nuove risultanze fiscali (reddito aziendale 2001 fr. 200’000/reddito aziendale 2002 fr. 500'000.--).” (doc. XV) in queste circostanze, in virtù dell’art. 23 cpv. 2 e cpv. 4 OAVS, ritenuto che l’autorità fiscale ha verificato gli importi soggetti a contribuzione e che l’insorgente si trova d’accordo con il nuovo accertamento del fisco, la decisione impugnata va modificata nel senso che i redditi da commercio professionale di immobili soggetti a contribuzione vanno fissati in fr. 200'000 per il 2001 e in fr. 500'000 per il 2002, essendo vincente in causa l’insorgente, rappresentato da un fiduciario, ha diritto a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