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30.2007.348 vom 8. November 2007</w:t>
      </w:r>
    </w:p>
    <w:p>
      <w:r>
        <w:t>TI Tribunale d'appello, 2007-11-08, IT</w:t>
      </w:r>
    </w:p>
    <w:p>
      <w:r>
        <w:rPr>
          <w:b/>
        </w:rPr>
        <w:t xml:space="preserve">Quelle: </w:t>
      </w:r>
      <w:r>
        <w:t>https://mcp.opencaselaw.ch/entscheid/ti_gerichte_30.2007.348</w:t>
      </w:r>
    </w:p>
    <w:p>
      <w:r>
        <w:t>FR: TI_GERICHTE 30.2007.348 du 8 novembre 2007</w:t>
      </w:r>
    </w:p>
    <w:p>
      <w:r>
        <w:t>IT: TI_GERICHTE 30.2007.348 del 8 novembre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150.- e le spese di fr. 50.- sono a carico ricorrente.</w:t>
      </w:r>
    </w:p>
    <w:p>
      <w:r>
        <w:rPr>
          <w:b/>
        </w:rPr>
        <w:t>E. 3</w:t>
      </w:r>
    </w:p>
    <w:p>
      <w:r>
        <w:t>Intimazione a: Il presidente:                                                                            La segretaria: Avvertenza: contro il presente giudizio può essere interposto ricorso in materia penale al Tribunale federale di Losanna (art. 78 e segg. LTF) per i motivi previsti dagli art. 95 e 97 LTF, entro 30 giorni dalla notificazione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