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30.2006.70 vom 28. April 2008</w:t>
      </w:r>
    </w:p>
    <w:p>
      <w:r>
        <w:t>TI Tribunale d'appello, 2008-04-28, IT</w:t>
      </w:r>
    </w:p>
    <w:p>
      <w:r>
        <w:rPr>
          <w:b/>
        </w:rPr>
        <w:t xml:space="preserve">Quelle: </w:t>
      </w:r>
      <w:r>
        <w:t>https://mcp.opencaselaw.ch/entscheid/ti_gerichte_30.2006.70</w:t>
      </w:r>
    </w:p>
    <w:p>
      <w:r>
        <w:t>FR: TI_GERICHTE 30.2006.70 du 28 avril 2008</w:t>
      </w:r>
    </w:p>
    <w:p>
      <w:r>
        <w:t>IT: TI_GERICHTE 30.2006.70 del 28 aprile 2008</w:t>
      </w:r>
    </w:p>
    <w:p>
      <w:pPr>
        <w:pStyle w:val="Heading2"/>
      </w:pPr>
      <w:r>
        <w:t>Volltext</w:t>
      </w:r>
    </w:p>
    <w:p>
      <w:r>
        <w:t>Incarto n.30.2006.70</w:t>
      </w:r>
    </w:p>
    <w:p>
      <w:r>
        <w:t>Lugano</w:t>
      </w:r>
    </w:p>
    <w:p>
      <w:r>
        <w:t>28 aprile 2008</w:t>
      </w:r>
    </w:p>
    <w:p>
      <w:r>
        <w:t>Sentenza</w:t>
      </w:r>
    </w:p>
    <w:p>
      <w:r>
        <w:t>In nomedella Repubblica e CantoneTicino</w:t>
      </w:r>
    </w:p>
    <w:p>
      <w:r>
        <w:t>Il Tribunale di espropriazione</w:t>
      </w:r>
    </w:p>
    <w:p>
      <w:r>
        <w:t>Composto</w:t>
      </w:r>
    </w:p>
    <w:p>
      <w:r>
        <w:t>dalla Presidente</w:t>
      </w:r>
    </w:p>
    <w:p>
      <w:r>
        <w:t>Margherita De Morpurgo</w:t>
      </w:r>
    </w:p>
    <w:p>
      <w:r>
        <w:t>e dai membri</w:t>
      </w:r>
    </w:p>
    <w:p>
      <w:r>
        <w:t>arch. Bruno Buzzini</w:t>
      </w:r>
    </w:p>
    <w:p>
      <w:r>
        <w:t>arch. Alberto Canepa</w:t>
      </w:r>
    </w:p>
    <w:p>
      <w:r>
        <w:t>segretaria giurista</w:t>
      </w:r>
    </w:p>
    <w:p>
      <w:r>
        <w:t>Annalisa Butti</w:t>
      </w:r>
    </w:p>
    <w:p>
      <w:r>
        <w:t>statuendo sul ricorso presentato in data 30 ottobre 2006 da</w:t>
      </w:r>
    </w:p>
    <w:p>
      <w:r>
        <w:t>RI 1</w:t>
      </w:r>
    </w:p>
    <w:p>
      <w:r>
        <w:t>RA 1</w:t>
      </w:r>
    </w:p>
    <w:p>
      <w:r>
        <w:t>contro</w:t>
      </w:r>
    </w:p>
    <w:p>
      <w:r>
        <w:t>la decisione su reclamo emanata il 27 settembre 2006 dalMunicipiodi __________, nell'ambito della procedura d'imposizione di contributi di miglioria per le opere di sistemazione di Viale M__________,relativamente al mapp. no. 391 RFD di __________,</w:t>
      </w:r>
    </w:p>
    <w:p>
      <w:r>
        <w:t>letti ed esaminati gli atti, udite le parti e assunte le necessarie prove,</w:t>
      </w:r>
    </w:p>
    <w:p>
      <w:r>
        <w:t>consideratoin fatto e in diritto</w:t>
      </w:r>
    </w:p>
    <w:p>
      <w:r>
        <w:t>1.1.1. Il Comune di __________ ha eseguito una serie di opere di sistemazione in Viale M__________ con lobiettivo di creare una zona 30km/h e quindi un ambiente favorevole alla convivenza di tutti gli utenti; in questottica sono state messe in atto varie misure intese a moderare e regolamentare il traffico a corollario dellintroduzione del limite di velocità. In particolare, si è proceduto alla posa di una specifica segnaletica e rampe di dislivello alla porta di entrata, alla creazione di restringimenti della carreggiata in cinque punti del tracciato, alla costruzione di zone dincrocio sopraelevate e di unarea per il traffico lento, alla sistemazione della rotonda esistente e dei posteggi di fronte allo stabile servizi, alla formazione di due zone dincrocio per gli autopostali, nonché al rifacimento totale della pavimentazione lungo tutto il tratto stradale. Lopera include anche la posa di un nuovo impianto di illuminazione e la piantumazione di alberi (MM 144.3 del 12.11.2001).Con risoluzione del 17.12.2001 il Consiglio Comunale ha concesso il credito di costruzione di fr. 1'707'000.- ed avvallato il prelievo dei contributi di miglioria nellordine del 40% della spesa.Il progetto definitivo è stato pubblicato dal 1.7.2002 al 31.7 2002 (inc. 40/02) ed approvato dal Tribunale di espropriazione con sentenze del 24.9.2002.1.2. Nel luglio del 2004 ilMunicipioè stato informato della soppressione, da parte della Confederazione, dei sussidi previsti per le misure a favore della qualità dellaria che secondo ilMunicipioavrebbero dovuto essere riconosciuti per lintervento su Viale M__________ (cfr. MM 144.3 del 12.11.2001, pto. 7.2., pag. 73); ciò ha determinato inevitabilmente un aumento dei costi dellopera.Al fine di sapere come procedere per stabilire la spesa determinante per il calcolo dei contributi di miglioria relativi al suddetto intervento stradale, con scritto 13.7.2005 ilMunicipioha sollecitato un parere alla Sezione degli enti locali, la quale ha enunciato che la questione andava nuovamente sottoposta al Consiglio Comunale e che nei costi dovevano essere inglobati anche quelli che si presupponevano coperti dai sussidi federali (cfr. parere 30.08.2005).Conseguentemente, con MM no. 224.3 del 10.11.2005, ilMunicipioha chiesto la concessione di un credito supplementare di fr. 193500.- e contestualmente ha proposto di ridurre la quota di prelievo dei contributi di miglioria al 30% della spesa. Con risoluzione del 28.11.2005 il Consiglio Comunale ha approvato il Messaggio.1.3. Nel frattempo ilMunicipioha avviato la procedura di prelievo dei contributi di miglioria per la suddetta opera pubblicando il prospetto dal 9.9. al 9.10.2005, previo invio di un avviso personale ai soggetti imposti; nello stesso veniva indicato che, in ragione della situazione che si era venuta creare, il contributo sarebbe stato prelevato su un acconto pari al 30% della spesa.La RI 1, in veste di proprietaria del mapp. no. 391, è stata assoggettata al pagamento di un contributo di miglioria di fr. 14532.15.Il reclamo tempestivamente interposto contro il prospetto è stato respinto dalMunicipiocon risoluzione del 27.9.2006.Da ciò il ricorso in esame nel quale, la ricorrente ha sollevato un vizio di ordine formale nella procedura e contestato sia di aver tratto un vantaggio particolare dallopera sia il piano del perimetro. Pertanto essa ha chiesto in via principale lannullamento del contributo, ed in via subordinata una sua riduzione.Con risposta 20.12.2006 ilMunicipioha postulato la reiezione del gravame.Alle udienze del 4.12.2007 e del 24.04.2008 le parti hanno confermato le rispettive argomentazioni.</w:t>
      </w:r>
    </w:p>
    <w:p>
      <w:r>
        <w:t>2.2.1. La ricorrente ha sollevato una censura di ordine formale, chiedendo lannullamento dellintera procedura, poiché il Consiglio Comunale ha approvato la riduzione della percentuale di prelievo al 30% solo successivamente alla pubblicazione del prospetto con risoluzione 28.11.2005.2.2. E vero che il Consiglio Comunale ha deciso di ridurre la percentuale di prelievo solo dopo il periodo di pubblicazione così incorrendo in un vizio di natura formale. Si tratta tuttavia di un vizio che non appare a tal punto grave da imporre lannullamento dellintera procedura, anche perché non ha impedito ai contribuenti di esercitare i loro diritti di difesa con piena cognizione di causa.In effetti dal momento che nel principio limposizione di contributi di miglioria per le opere eseguite su Viale M__________ era già stata avallata dal legislativo con la precedente risoluzione del 17.12.2001, i proprietari già sapevano di dover corrispondere un contributo. Con la seconda risoluzione del 28.11.2005 non è dunque stato modificato il principio bensì le modalità del prelievo e ciò non per libero arbitrio del Comune bensì, comè noto, in seguito alla soppressione dei sussidi federali. La risoluzione del 28.11.2005 era peraltro soggetta ad impugnazione nelle forme e nei termini previsti per i ricorsi contro le decisioni degli organi comunali (art. 208 ss LOC), facoltà che la ricorrente non ha esercitato.In secondo luogo ilMunicipioha di fatto anticipato questultima risoluzione del legislativo in maniera del tutto trasparente segnalando nellavviso personale del 7.9.2005 che il contributo sarebbe stato prelevato su un acconto pari al 30% della spesa ed indicandone i motivi. Il prelievo è poi avvenuto nel pieno rispetto dellavviso ritenuto che la quota a carico dei privati ammonta a fr. 330'000.-, corrispondente al 30% della spesa determinante (cfr. prospetto e riassunto dei costi di cui al doc. 3).Infine è importante rilevare che ilMunicipioera tenuto a pubblicare il prospetto pena la perenzione del diritto dimposizione (art. 16 LCM).Tutto ciò considerato lannullamento dellintera procedura dimposizione sarebbe un provvedimento sproporzionato.La censura deve quindi essere respinta.</w:t>
      </w:r>
    </w:p>
    <w:p>
      <w:r>
        <w:t>3.3.1. I Comuni sono tenuti a prelevare contributi di miglioria per le opere pubbliche che procurano al privato un vantaggio particolare (art. 1 cpv. 1 LCM), specie per le opere di urbanizzazione generale e particolare dei terreni (art. 3 cpv. 1 let. a LCM). Il vantaggio particolare è presunto (art. 4 LCM) quando lopera è finalizzata ad urbanizzare i fondi o a migliorarne lurbanizzazione secondo uno standard minimo, oppure quando migliora in modo evidente la redditività, la sicurezza, laccessibilità, la salubrità e la tranquillità dei fondi tenuto conto della loro destinazione, oppure ancora quando elimina o riduce inconvenienti ed oneri (Messaggio 2862 del 13.6.1984 concernente la nuova LCM, ad art. 5 p. 16-17). In tale ambito gli autori e la prassi ammettono che la costruzione e la sistemazione di strade, marciapiedi, piazze e posteggi siano opere che producono indubbi vantaggi particolari per le proprietà servite giustificando, perciò, il prelievo di contributi di miglioria (Reitter, Les contributions déquipement, plus particulièrement en droit neuchâtelois, th. 1986, p. 64 ss; Blumer, Abgaben für Erschliessungsanlagen, th. 1989, p. 38 ss; Marantelli-Sonanini, Erschliessung von Bauland, Diss. 1997, p. 93; Crespi, Il contributo di miglioria e la sua imposizione nel comune ticinese, 1963, p. 66 e 70).3.2. In concreto, come risulta dalla documentazione fotografica agli atti, la trasformazione radicale subita da Viale M__________ grazie ai lavori è palese. Le opere eseguite hanno sostanzialmente comportato il rifacimento totale di tutto il tratto stradale secondo un concetto di percorrenza innovativo in linea con gli orientamenti comunemente ammessi in tema di opera stradali che ad una rigida separazione degli spazi preferiscono la convivenza tra gli utenti della strada. Esse sono consistite nel rifacimento totale della pavimentazione, nella sistemazione della rotonda esistente e dei posteggi di fronte allo stabile servizi, e nella posa di un nuovo impianto di illuminazione, di alcuni alberi e di una specifica segnaletica. A corollario larea riservata ai pedoni è stata evidenziata, rispetto al resto della carreggiata, con una manda di mocche e di conseguenza, essendo delimitata, offre uno spazio sufficiente e sicuro; inoltre linvasione di tale area da parte di un veicolo non è continua ma limitata allincrocio occasionale ed ai punti in cui è stato creato un restringimento stradale, ed il pedone gode comunque sempre della precedenza.Oltre a conferire un aspetto esteticamente uniforme e decoroso al tracciato stradale, dal profilo funzionale lintervento ha quindi migliorato lagibilità e la qualità di percorrenza rendendo la circolazione veicolare e pedonale più sicura ed ha adeguato la strada alle esigenze della zona ed alla sua destinazione a carattere residenziale. E indubbio, quindi, che lopera si traduca in un vantaggio particolare per le proprietà servite, tra le quali si annovera anche il mapp. no. 391 seppur non direttamente confinante la strada.La presunzione del vantaggio particolare è quindi adempiuta sotto tutti i suoi aspetti (art. 4 LCM).3.3. La ricorrente nega di aver tratto un vantaggio particolare dallopera perchè la sua proprietà non è confinante su Viale M__________.A fronte della costruzione di una nuova strada il vantaggio si riflette anzitutto sui fondi limitrofi ma può ripercuotersi anche su terreni non confinanti nella misura in cui questi vi hanno un accesso e/o sono allacciati alle sue infrastrutture; nulla impedisce quindi di assoggettare anche superfici retrostanti purché lopera conferisca loro un vantaggio particolare.Il mapp. no. 391 è un terreno retrostante rispetto a Viale M__________ al quale ha però un accesso veicolare e pedonale attraverso Via __________. Dal profilo dellaccessibilità il fondo ha quindi tratto un benefico dallopera. Poco importa che la strada sia effettivamente utilizzata dal momento che, per ammettere un beneficio, basta la semplice possibilità duso. È vero che il beneficio è meno marcato rispetto ad altre proprietà, ad esempio quelle direttamente affacciate su Viale M__________, ma di questo è stato tenuto conto nella ripartizione appunto considerando la distanza del fondo dallopere ed applicando un fattore di vantaggio ridotto (0.6).Tutto ciò considerato lassoggettamento della proprietà al contributo di miglioria è dunque fondato.</w:t>
      </w:r>
    </w:p>
    <w:p>
      <w:r>
        <w:t>4.4.1. La ricorrente contesta il piano del perimetro in quanto a suo avviso fissato in modo troppo restrittivo e ne chiede lampliamento a tutti i fondi situati a valle e a monte di Via __________.4.2. Lart. 9 LCM dispone che i beni imponibili sono individuati mediante un piano del perimetro, con leventuale suddivisione in classi di vantaggio.Il piano del perimetro racchiude i fondi o la porzione dei fondi che traggono un effettivo vantaggio particolare dallopera e che, per questo motivo, sono assoggettati al contributo di miglioria.La delimitazione del piano, che compete alMunicipio(RDAT I-1994 no. 7), dipende da un apprezzamento fattuale a carattere prevalentemente tecnico (cfr. Messaggio cit., ad art. 10 p. 22) e comporta unanalisi di complessa attuazione, non da ultimo perché la normativa è priva di spunti limitandosi ad accennare alla facoltà di suddividere il comprensorio in classi di vantaggio. Si dovrà dunque ponderare le caratteristiche dellopera (funzionalità, concrete possibilità duso, accessibilità ecc.) per rapporto al territorio circostante ed alla destinazione dei singoli fondi affinché, conformemente allo scopo del contributo, nel perimetro siano incluse solo le proprietà che, in esito a tale valutazione, risulteranno realmente avvantaggiate (Reitter, op. cit., p. 95; Blumer, op. cit., p. 62; Otzenberger, Die Grundeigentümerbeiträge im Kanton Luzern, p. 46 ss).Considerato che in tema di contributi di miglioria, e quindi anche nel tracciare il comprensorio imponibile, lente pubblico gode di un ampio margine di autonomia, il riesame da parte del Tribunale non può avvenire che con un certo riserbo nellottica dei diritti costituzionalmente garantiti.4.3. Il piano del perimetro è delimitato ad ovest dallintersezione con la strada cantonale, ad est dalla piazza di giro degli autobus, a nord dal limite della zona boschiva e a sud dal limite dei sedimi che per gli spostamenti gravitano in modo preponderante su Viale M__________. Il limite meridionale del perimetro viene cosi a trovarsi a circa metà strada tra Viale M__________ e Via __________.Quanto alle proprietà che la ricorrente vorrebbe incluse nel perimetro, la censura è a tal punto generica da non consentire alcun raffronto concreto. In ogni caso i fondi appartenenti allarea menzionata sono assai lontani dallopera ed usufruiscono di altri accessi ben più razionali rispetto a Viale M__________. Per questa categoria di utenti il percorso da Viale M__________ potrebbe rappresentare, semmai, solo una scelta di ripiego, peraltro poco funzionale, cosicché il vantaggio non può essere definito specifico, ma si confonde con quello collettivo.Pertanto nel complesso il piano del perimetro non è contrario al principio della parità di trattamento.</w:t>
      </w:r>
    </w:p>
    <w:p>
      <w:r>
        <w:t>5.5.1. Giusta lart. 8 LCM la quota a carico degli interessati è ripartita in funzione del vantaggio particolare (cpv. 1), tenuto conto della superficie dei fondi e, per i terreni edificabili, del diverso indice di sfruttamento (cpv. 2); sono applicabili fattori di correzione qualora speciali circostanze lo giustificassero (cpv. 3).Poiché lentità del singolo vantaggio è difficilmente determinabile la prassi ammette lapplicazione di criteri di calcolo schematici fondati su elementi consacrati dallesperienza e di facile applicazione e comprensione che consistono nelladoperare percentuali di incremento teoriche o predeterminate (Messaggio cit., ad art. 9 p. 21; Marantelli-Sonanini, op. cit., p. 98; Rhinow/Krähenmann, op. cit., no. 111 B IIIa; Zbl 1980 179; DTF 98 Ia 169 c. 4b, 109 Ia 325 c. 5).Lente pubblico gode di un ampio margine di apprezzamento nella scelta del metodo di ripartizione (Reitter, op. cit., p. 95; Otzenberger, op. cit., p. 47). Perciò il Tribunale di espropriazione si impone moderazione e riserbo nellambito del riesame dei singoli contributi limitandosi a verificare che i criteri adottati rispettino la legge ed i fondamentali principi della proporzionalità e dellequivalenza (RDAT I-2007 no. 29 c. 5.1 e rinvii).5.2. Stando al prospetto pubblicato la spesa determinante (art. 6 LCM) servita per il calcolo ammonta a fr. 1'100000.- e la corrispondente quota del 30% (art .7 LCM) a carico dei privati ammonta a fr. 330'000.- (cfr. prospetto e riassunto dei costi di cui al doc. 3). La ripartizione della quota prelevabile (art. 8 LCM) è avvenuta sulla base della potenzialità edificatoria dei fondi e di 4 classi di vantaggio che tengono conto principalmente della posizione dei sedimi rispetto a Viale M__________.Il fattore legato alla potenzialità edificatoria è stabilito in base allindice di sfruttamento riferibile alle varie zone di PR a cui appartengono le proprietà imposte: così sono riconosciuti, rispettivamente, un coefficiente di 8.0 alla zona RSI, di 6.0 alla zona RSE, di 3.0 al fuori zona e di 0.5 alla zona AP-EP.Le differenti classi di vantaggio considerano la posizione dei fondi per rapporto alla strada: il fattore 1 è stato applicato ai fondi cha hanno accesso diretto alla strada; il fattore0.6 aquelli retrostanti ed il fattore 0.3 ai fondi ancora più retrostanti. Vi è poi il fattore speciale 1.0 che è applicato solo ai mapp. no. 359 e 360 appartenenti al Comune di __________ e al mapp. no. 1205 di proprietà del Patriziato.Il mapp. no. 391 appartiene al comprensorio retrostante a Viale M__________. Questo comporta lapplicazione di un fattore di vantaggio dello 0.60, vale a dire di un fattore ridotto rispetto al 1.00 riconosciuto ai fondi direttamente confinanti a Viale M__________.Certo si tratta di un criterio schematico ed è inevitabile che pochi metri bastino per creare quella differenza di cui si lamentano i ricorrenti; non per questo però il criterio appare discutibile o addirittura errato. In effetti esso ha il vantaggio di offrire risultati ragionevoli quanto proporzionati ed attua una corretta e sufficiente differenziazione fra i fondi imposti in base alla distanza confinante o retrostante, agli accessi e alle potenzialità edificatorie.Tutto ciò considerato i criteri di calcolo non violano i principi della proporzionalità e dellequivalenza e di conseguenza il contributo di miglioria a carico del mapp. no. 391 va confermato nel suo ammontare.</w:t>
      </w:r>
    </w:p>
    <w:p>
      <w:r>
        <w:t>6.La tassa di giustizia e le spese sono ripartite in ragione della soccombenza (art. 23 LCM e 31 LPamm.), compreso quindi lobbligo di corrispondere le ripetibili al Comune che si è avvalso della consulenza di un legale.In concreto, visto lesito del ricorso, la tassa di giustizia e le spese sono a carico della ricorrente in quanto soccombente, la quale dovrà corrispondere al Comune di __________ adeguate ripetibili.</w:t>
      </w:r>
    </w:p>
    <w:p>
      <w:r>
        <w:t>per questi motivi</w:t>
      </w:r>
    </w:p>
    <w:p>
      <w:r>
        <w:t>richiamatila Leggesui contributi di miglioria del 24.4.1990</w:t>
      </w:r>
    </w:p>
    <w:p>
      <w:r>
        <w:t>dichiara</w:t>
      </w:r>
    </w:p>
    <w:p>
      <w:r>
        <w:t>e pronuncia:1.     Il ricorso è respinto.</w:t>
      </w:r>
    </w:p>
    <w:p>
      <w:r>
        <w:t>2.     La tassa di giustizia e le spese in fr. 500.- sono a carico della ricorrente, lobbligo di rifondere al Comune di __________ fr. 300.- a titolo di ripetibili.</w:t>
      </w:r>
    </w:p>
    <w:p>
      <w:r>
        <w:t>3.Contro la presente decisione è dato ricorso in materia di diritto pubblico al Tribunale federale, Losanna, entro il termine di 30 giorni dalla sua notificazione (art. 82 ss LTF). Qualora non sia proponibile il ricorso in materia di diritto pubblico, entro il medesimo termine è ammesso il ricorso sussidiario in materia costituzionale (art. 113 ss LTF).</w:t>
      </w:r>
    </w:p>
    <w:p>
      <w:r>
        <w:t>4.     Intimazione a:</w:t>
      </w:r>
    </w:p>
    <w:p>
      <w:r>
        <w:t>-</w:t>
      </w:r>
    </w:p>
    <w:p>
      <w:r>
        <w:t>-</w:t>
      </w:r>
    </w:p>
    <w:p>
      <w:r>
        <w:t>per il Tribunale di espropriazione</w:t>
      </w:r>
    </w:p>
    <w:p>
      <w:r>
        <w:t>la Presidente                                                                        Lasegretaria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