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30.2006.7 vom 6. Dezember 2007</w:t>
      </w:r>
    </w:p>
    <w:p>
      <w:r>
        <w:t>TI Tribunale d'appello, 2007-12-06, IT</w:t>
      </w:r>
    </w:p>
    <w:p>
      <w:r>
        <w:rPr>
          <w:b/>
        </w:rPr>
        <w:t xml:space="preserve">Quelle: </w:t>
      </w:r>
      <w:r>
        <w:t>https://mcp.opencaselaw.ch/entscheid/ti_gerichte_30.2006.7</w:t>
      </w:r>
    </w:p>
    <w:p>
      <w:r>
        <w:t>FR: TI_GERICHTE 30.2006.7 du 6 décembre 2007</w:t>
      </w:r>
    </w:p>
    <w:p>
      <w:r>
        <w:t>IT: TI_GERICHTE 30.2006.7 del 6 dicembre 2007</w:t>
      </w:r>
    </w:p>
    <w:p>
      <w:pPr>
        <w:pStyle w:val="Heading2"/>
      </w:pPr>
      <w:r>
        <w:t>Erwägungen</w:t>
      </w:r>
    </w:p>
    <w:p>
      <w:r>
        <w:rPr>
          <w:b/>
        </w:rPr>
        <w:t>E. 19</w:t>
      </w:r>
    </w:p>
    <w:p>
      <w:r>
        <w:t>gennaio 2006 e osservazioni 14 dicembre 2005); che, quand’anche si volesse ammettere che il paracarro sporgesse in larga misura sul campo stradale, così come appare dalle fotografie allegate al rapporto di polizia, nulla muterebbe in merito alla colpevolezza della ricorrente. In effetti, anche in siffatta evenienza - peraltro assai inverosimile -, quest’ultima avrebbe dovuto e potuto evitare l’ostacolo senza perdere la padronanza di guida; che ciò vale a maggior ragione non appena si consideri che la ricorrente stava circolando all’interno del quartiere residenziale in cui abita, segnalato quale zona con limite di velocità massimo di 30 km/h, lungo una strada secondaria, rettilinea e pianeggiante, in cui è usuale che vi siano degli elementi di moderazione del traffico e dove i conducenti di veicoli devono usare speciale prudenza ed avere riguardo verso gli altri (art. 41a ONC); che, a questo proposito, il fatto che l’insorgente, come da lei stessa ammesso, sia stata abbagliata dalla luce del sole non attenua la sua responsabilità. Al contrario, tale circostanza avrebbe infatti dovuto indurla a rallentare ulteriormente o a fermarsi del tutto; che la multa inflitta è convenientemente proporzionata alla gravità dell’infrazione commessa, rettamente commisurata al grado di colpa e contenuta nei limiti concessi dalla legge; che il ricorso deve pertanto essere respinto, seguito da tassa di giustizia e spese (art. 15 LPcontr); per questi motivi,                visti gli art. 31 cpv. 1, 90 cifra 1 LCStr; 3 cpv. 1 vONC; 1 segg. LPContr; pronuncia:                1. Il ricorso è respinto e la decisione impugnata è confermata. 2. La tassa di giustizia di fr. 150.-- e le spese di fr. 50.--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a: .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