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30.2006.330 vom 31. Januar 2008</w:t>
      </w:r>
    </w:p>
    <w:p>
      <w:r>
        <w:t>TI Tribunale d'appello, 2008-01-31, IT</w:t>
      </w:r>
    </w:p>
    <w:p>
      <w:r>
        <w:rPr>
          <w:b/>
        </w:rPr>
        <w:t xml:space="preserve">Quelle: </w:t>
      </w:r>
      <w:r>
        <w:t>https://mcp.opencaselaw.ch/entscheid/ti_gerichte_30.2006.330</w:t>
      </w:r>
    </w:p>
    <w:p>
      <w:r>
        <w:t>FR: TI_GERICHTE 30.2006.330 du 31 janvier 2008</w:t>
      </w:r>
    </w:p>
    <w:p>
      <w:r>
        <w:t>IT: TI_GERICHTE 30.2006.330 del 31 gennaio 2008</w:t>
      </w:r>
    </w:p>
    <w:p>
      <w:pPr>
        <w:pStyle w:val="Heading2"/>
      </w:pPr>
      <w:r>
        <w:t>Volltext</w:t>
      </w:r>
    </w:p>
    <w:p>
      <w:r>
        <w:t>Incarto n.30.2006.330</w:t>
      </w:r>
    </w:p>
    <w:p>
      <w:r>
        <w:t>27776/608</w:t>
      </w:r>
    </w:p>
    <w:p>
      <w:r>
        <w:t>Bellinzona</w:t>
      </w:r>
    </w:p>
    <w:p>
      <w:r>
        <w:t>31 gennaio 2008</w:t>
      </w:r>
    </w:p>
    <w:p>
      <w:r>
        <w:t>Sentenza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Petra Vanoni in qualità di segretaria per statuire sul ricorso 28 novembre 2006 presentato da</w:t>
      </w:r>
    </w:p>
    <w:p>
      <w:r>
        <w:t>RI 1,</w:t>
      </w:r>
    </w:p>
    <w:p>
      <w:r>
        <w:t>contro</w:t>
      </w:r>
    </w:p>
    <w:p>
      <w:r>
        <w:t>la decisione 17 novembre 2006 n. 27776/608 emessa dalla CRTE 1</w:t>
      </w:r>
    </w:p>
    <w:p>
      <w:r>
        <w:t>viste                                  le osservazioni 18 dicembre 2006 presentate dalla CRTE 1, __________;</w:t>
      </w:r>
    </w:p>
    <w:p>
      <w:r>
        <w:t>letti ed esaminati gli atti,</w:t>
      </w:r>
    </w:p>
    <w:p>
      <w:r>
        <w:t>ritenuto                             in fatto</w:t>
      </w:r>
    </w:p>
    <w:p>
      <w:r>
        <w:t>A.La CRTE 1con decisione 17 novembre 2006 ha inflitto a RI 1 una multa di fr. 50.-, oltre alla tassa di giustizia di fr. 20.- e alle spese di fr. 10.-, per i seguenti motivi:</w:t>
      </w:r>
    </w:p>
    <w:p>
      <w:r>
        <w:t>"Ha messo in circolazione il veicolo TI __________ al quale sono state apportate delle modifiche (aumento potenza motore) senza sottoporlo a nuovo esame.</w:t>
      </w:r>
    </w:p>
    <w:p>
      <w:r>
        <w:t>Fatti accertati il 14 luglio 2006 in territorio di __________.</w:t>
      </w:r>
    </w:p>
    <w:p>
      <w:r>
        <w:t>La risoluzione è stata resa in applicazione degli art. 13 cpv. 3, 29, 93 cifra 2 LCStr; 34, 219 cpv. 1 e 2 OETV.</w:t>
      </w:r>
    </w:p>
    <w:p>
      <w:r>
        <w:t>B.Contro la predetta pronuncia dipartimentale RI 1 si aggrava ora davanti a questo giudice chiedendone l'annullamento.</w:t>
      </w:r>
    </w:p>
    <w:p>
      <w:r>
        <w:t>C.La CRTE 1 con comunicazione 18 dicembre 2006 si astiene dal formulare osservazioni, lasciando a questo giudice la più ampia facoltà di giudizio.</w:t>
      </w:r>
    </w:p>
    <w:p>
      <w:r>
        <w:t>considerato                      in diritto</w:t>
      </w:r>
    </w:p>
    <w:p>
      <w:r>
        <w:t>1.La competenza di questo giudice, la legittimazione attiva dell'insorgente e la tempestività dell'impugnativa sono date dall'art. 4 LPContr. Il ricorso è pertanto ricevibile in ordine.</w:t>
      </w:r>
    </w:p>
    <w:p>
      <w:r>
        <w:t>La ricorrente  in un unico gravame sottoscritto anche dal marito, multato con decisione separata - lamenta anzitutto unasserta violazione del suo diritto di essere sentita nella misura in cui il rapporto di contravvenzione non menziona gli articoli di legge violati; inoltre lautorità inquirente avrebbe, a suo dire, più volte modificato laddebito mossole. Sennonché le numerose comparse scritte e le articolate argomentazioni ivi contenute attestano che ella ha compreso perfettamente linfrazione contestatale, ossia quella di aver tollerato una modifica alla centralina al fine di aumentare la potenza del motore (come accertato della polizia cantonale, la quale non è tenuta a elencare gli articoli di legge nel proprio rapporto di contravvenzione, purché sia chiaro laddebito), senza sottoporla a nuovo esame prima di ogni ulteriore impiego, ovvero senza notificare alcunché alla compente autorità di collaudo (qualifica giuridica della fattispecie secondo lautorità di prime cure). Di conseguenza non è data alcuna violazione del suo diritto di essere sentita.</w:t>
      </w:r>
    </w:p>
    <w:p>
      <w:r>
        <w:t>Ella invoca inoltre un presunto vizio di forma, a causa di un errore riportato nel rapporto di contravvenzione circa lorario dellinfrazione (ore 11.00 anziché ore 14.00). Tuttavia, trattandosi di una svista facilmente riconoscibile, la stessa non è tale da mettere in dubbio le circostanze di tempo dellinfrazione e quindi da inficiare la procedura.</w:t>
      </w:r>
    </w:p>
    <w:p>
      <w:r>
        <w:t>Nulla osta pertanto allesame del ricorso nel merito sulla base degli atti a norma dell'art. 12 LPContr.</w:t>
      </w:r>
    </w:p>
    <w:p>
      <w:r>
        <w:t>2.Giusta lart. 29 LCStr i veicoli possono circolare soltanto se sono in perfetto stato di sicurezza e conformi alle prescrizioni. Essi devono essere costruiti e tenuti in modo che le norme della circolazione possano essere osservate, che il conducente, i passeggeri e gli altri utenti della strada non siano messi in pericolo e che la strada non venga danneggiata.</w:t>
      </w:r>
    </w:p>
    <w:p>
      <w:r>
        <w:t>Per lart. 13 cpv. 3 LCStr il veicolo può essere controllato in ogni tempo; esso deve essere sottoposto a un nuovo esame se ha subito modificazioni essenziali oppure se è dubbio che esso dia ancora tutte le garanzie di sicurezza.</w:t>
      </w:r>
    </w:p>
    <w:p>
      <w:r>
        <w:t>In particolare, lart. 34 cpv. 2 OETV sancisce che il detentore deve notificare allautorità di immatricolazione le modifiche apportate ai veicoli e che i veicoli modificati devono essere sottoposti a esame successivo prima di un ulteriore impiego, segnatamente in caso di interventi che modificano le emissioni di gas di scarico o di rumori, in questo caso deve essere provato che sono osservate le prescrizioni sui gas di scarico e i rumori in vigore al momento della prima messa in circolazione (lett. c); egli deve inoltre notificare alla medesima autorità altri fatti nuovi da iscrivere nella licenza di circolazione (cpv. 3).</w:t>
      </w:r>
    </w:p>
    <w:p>
      <w:r>
        <w:t>Il Consiglio federale può comminare la multa alle persone che violano le sue prescrizioni desecuzione alla presente legge (art. 103 cpv. 1 LCStr).</w:t>
      </w:r>
    </w:p>
    <w:p>
      <w:r>
        <w:t>Per lart. 219 cpv. 2 lett. f OETV è punito con la multa, a meno che sia applicabile una pena più severa, chiunque come detentore del veicolo non annuncia modificazioni per cui è necessaria una notificazione.</w:t>
      </w:r>
    </w:p>
    <w:p>
      <w:r>
        <w:t>3.La CRTE 1  in applicazione delle predette disposizioni  rimprovera alla multata di aver messo in circolazione il veicolo TI__________ al quale sono state apportate delle modifiche (aumento potenza motore) senza sottoporlo a nuovo esame. La decisione si basa sul rapporto di contravvenzione 2 agosto 2006 della Polizia cantonale, dal quale risulta che è stata eseguita una modifica alla centralina, con aumento della potenza motore (potenza rilevata CV 247 / 181.8 kW a fronte di una potenza originale di CV 234 / 172 kW).</w:t>
      </w:r>
    </w:p>
    <w:p>
      <w:r>
        <w:t>4.La ricorrente, avendo sottoscritto lo stesso gravame presentato dal marito nel parallelo procedimento di cui allincarto __________, contesta in sostanza la validità dellaccertamento eseguito il 14 luglio 2006 presso il banco prova a rulli del centro professionale UPSA di Biasca, argomentazione di per sé irrilevante ai fini del giudizio, nella misura in cui decisivo è il fatto che il veicolo sia stato sottoposto a una modifica essenziale, senza che la stessa sia stata notificata allautorità proposta al collaudo volto a verificare se siano ancora rispettati i parametri di legge.</w:t>
      </w:r>
    </w:p>
    <w:p>
      <w:r>
        <w:t>Tuttavia, dagli atti si evince che ella non era al corrente della modifica eseguita dal marito per opera della __________ SA, circostanza che non è invero stata rimessa in discussione. Nel rapporto di contro-osservazioni 25 settembre 2006 lagente denunciante asseriva infatti cheil __________ confermava in effetti di aver provveduto (allinsaputa della moglie detentrice del veicolocome da lui dichiarato al telefono) ad effettuare una modifica alla centralina.</w:t>
      </w:r>
    </w:p>
    <w:p>
      <w:r>
        <w:t>Certo, ci si può chiedere se in qualità di moglie ella non potesse o dovesse ragionevolmente avere conoscenza degli interventi di modifica operati dal marito sul veicolo a lei intestato. Tuttavia, agli atti non vi sono indizi in tal senso, poiché la questione non è stata approfondita, né tanto meno, a mente di questo giudice, la modifica poteva essere facilmente scoperta dalla ricorrente.</w:t>
      </w:r>
    </w:p>
    <w:p>
      <w:r>
        <w:t>Di conseguenza, a prescindere dalle varie congetture contenute nel gravame circa la potenza originale del motore e dalla pretesa nullità della misurazione eseguita al centro UPSA di Biasca, occorre concludere che difetta laspetto soggettivo dellinfrazione, né può essere rimproverata alla ricorrente qualsivoglia negligenza. La stessa deve pertanto essere prosciolta dalladdebito mossole e la decisione impugnata annullata.</w:t>
      </w:r>
    </w:p>
    <w:p>
      <w:r>
        <w:t>Visto lesito del gravame non si prelevano né tasse né spese di giustizia (art. 15 LPContr).</w:t>
      </w:r>
    </w:p>
    <w:p>
      <w:r>
        <w:t>per questi motivi                 visti gli art. 13 cpv. 3, 29, 93 cifra 2 LCStr; 34, 219 cpv. 1 e 2 OETV; 1 segg. LPContr;</w:t>
      </w:r>
    </w:p>
    <w:p>
      <w:r>
        <w:t>dichiara e</w:t>
      </w:r>
    </w:p>
    <w:p>
      <w:r>
        <w:t>pronuncia:                1.Il ricorsoè accoltoe la decisione impugnata annullata.</w:t>
      </w:r>
    </w:p>
    <w:p>
      <w:r>
        <w:t>2.Non si prelevano né tasse né spese di giustizia.</w:t>
      </w:r>
    </w:p>
    <w:p>
      <w:r>
        <w:t>3.Intimazione a: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