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30.2006.285 vom 13. August 2007</w:t>
      </w:r>
    </w:p>
    <w:p>
      <w:r>
        <w:t>TI Tribunale d'appello, 2007-08-13, IT</w:t>
      </w:r>
    </w:p>
    <w:p>
      <w:r>
        <w:rPr>
          <w:b/>
        </w:rPr>
        <w:t xml:space="preserve">Quelle: </w:t>
      </w:r>
      <w:r>
        <w:t>https://mcp.opencaselaw.ch/entscheid/ti_gerichte_30.2006.285</w:t>
      </w:r>
    </w:p>
    <w:p>
      <w:r>
        <w:t>FR: TI_GERICHTE 30.2006.285 du 13 août 2007</w:t>
      </w:r>
    </w:p>
    <w:p>
      <w:r>
        <w:t>IT: TI_GERICHTE 30.2006.285 del 13 agosto 2007</w:t>
      </w:r>
    </w:p>
    <w:p>
      <w:pPr>
        <w:pStyle w:val="Heading2"/>
      </w:pPr>
      <w:r>
        <w:t>Volltext</w:t>
      </w:r>
    </w:p>
    <w:p>
      <w:r>
        <w:t>Incarto n.30.2006.285</w:t>
      </w:r>
    </w:p>
    <w:p>
      <w:r>
        <w:t>25399/603</w:t>
      </w:r>
    </w:p>
    <w:p>
      <w:r>
        <w:t>Bellinzona</w:t>
      </w:r>
    </w:p>
    <w:p>
      <w:r>
        <w:t>13 agosto 2007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Laura Bernasconi in qualità di segretaria per statuire sul ricorso 24 ottobre 2006 presentato da</w:t>
      </w:r>
    </w:p>
    <w:p>
      <w:r>
        <w:t>RI 1</w:t>
      </w:r>
    </w:p>
    <w:p>
      <w:r>
        <w:t>contro</w:t>
      </w:r>
    </w:p>
    <w:p>
      <w:r>
        <w:t>la decisione 13 ottobre 2006 n. 25399/603 emessa dalla CRTE 1</w:t>
      </w:r>
    </w:p>
    <w:p>
      <w:r>
        <w:t>viste                                  le osservazioni 14 novembre 2006 presentate dalla CRTE 1, __________;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A.CRTE 1con decisione 13 ottobre 2006 ha inflitto a RI 1 una multa di fr. 120.-, oltre alla tassa di giustizia di fr. 40.- e alle spese di fr. 20.-, per i seguenti motivi:</w:t>
      </w:r>
    </w:p>
    <w:p>
      <w:r>
        <w:t>"Ha posteggiato il veicolo __________ su un marciapiede e senza lasciare libero un passaggio di almeno 1.5 metri per i pedoni.</w:t>
      </w:r>
    </w:p>
    <w:p>
      <w:r>
        <w:t>Fatti accertati l11 giugno 2006 in territorio di __________.</w:t>
      </w:r>
    </w:p>
    <w:p>
      <w:r>
        <w:t>La risoluzione è stata resa in applicazione degli art. 43 cpv. 2, 90 cifra 1 LCStr; 41 cpv. 1bis ONC.</w:t>
      </w:r>
    </w:p>
    <w:p>
      <w:r>
        <w:t>B.Contro la predetta pronuncia dipartimentale RI 1 si aggrava ora davanti a questo giudice chiedendo la riduzione della multa inflitta e la rateazione della stessa.</w:t>
      </w:r>
    </w:p>
    <w:p>
      <w:r>
        <w:t>C.Con comunicazione 14 novembre 2006 CRTE 1 si astiene dal formulare osservazioni lasciando a questo giudice la più ampia facoltà di giudizio.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 norma dell'art. 12 LPContr.</w:t>
      </w:r>
    </w:p>
    <w:p>
      <w:r>
        <w:t>2.Giusta lart. 43 cpv. 2 LCStr il marciapiede è riservato ai pedoni, la ciclopista è riservata ai ciclisti. Il Consiglio federale può prevedere eccezioni. Se non è autorizzato espressamente mediante segnali o demarcazioni, è vietato parcheggiare altri veicoli sul marciapiede. In mancanza di siffatta segnaletica, è possibile parcheggiare sul marciapiede solamente per caricare o scaricare merci oppure per far salire o scendere i passeggeri dai veicoli; deve restare sempre libero uno spazio di almeno 1,50 m per i pedoni. Queste operazioni devono essere svolte nel più breve tempo possibile (art. 41 cpv. 1bis ONC)</w:t>
      </w:r>
    </w:p>
    <w:p>
      <w:r>
        <w:t>Chiunque contravviene alle norme della circolazione contenute nella LCStr o nelle prescrizioni di esecuzione del Consiglio federale è punito con la multa (art. 90 cifra 1 LCStr). Per linosservanza di cui sopra, lallegato 1 allordinanza concernente le multe disciplinari (RS 741.031) commina  fino a 60 minuti  una sanzione pecuniaria di fr. 120.- (infrazione 228.1).</w:t>
      </w:r>
    </w:p>
    <w:p>
      <w:r>
        <w:t>3.     CRTE 1 in applicazione delle predette disposizioni  ha rimproverato al multato di aver parcheggiato il proprio veicolo su di un marciapiede senza lasciare sufficiente spazio per il transito dei pedoni.</w:t>
      </w:r>
    </w:p>
    <w:p>
      <w:r>
        <w:t>4.Il ricorrente, dal canto suo, non contesta la fattispecie ravvisata dallautorità di prime cure, limitandosi a chiedere che limporto della multa venga ridotto in considerazione del suo statuto di studente e che gli sia concesso il pagamento dilazionato dello stesso. Tale richieste erano peraltro state rivolte alla Polizia intercomunale di __________ con scritti 6 luglio e 3 agosto 2006, acclusi al gravame. Nel primo scritto egli descriveva, tra laltro, le circostanze in cui è avvenuta linfrazione.</w:t>
      </w:r>
    </w:p>
    <w:p>
      <w:r>
        <w:t>5.Nella fattispecie concreta, come si evince dal fascicolo processuale, tali scritti non sono stati trasmessi alla CRTE 1.</w:t>
      </w:r>
    </w:p>
    <w:p>
      <w:r>
        <w:t>Èben vero che la procedura di multa disciplinare non prevede la possibilità per il multato di formulare osservazioni. Tuttavia, in virtù del principio della buona fede, la polizia era tenuta a informare il multato di tale particolarità oppure trasmettere quanto ricevuto alla CRTE 1, che ne avrebbe potuto, se del caso, tenere conto nella commisurazione della multa, atteso che nellambito della procedura ordinaria lautorità decidente non è vincolata dagli importi stabiliti dallordinanza concernente le multe disciplinari.</w:t>
      </w:r>
    </w:p>
    <w:p>
      <w:r>
        <w:t>6.E indubbio che la mancata trasmissione degli scritti di cui sopra viola il diritto di essere sentito del ricorrente e che la CRTE 1 si è pronunciata senza tener conto delle considerazioni da lui espresse.</w:t>
      </w:r>
    </w:p>
    <w:p>
      <w:r>
        <w:t>Tale violazione comporta unicamente lannullabilità dellavversata risoluzione: in altri termini, una decisione che viola il diritto di essere sentito non è nulla, bensì soltanto annullabile (cfr. DTF 116 Ia 455, 115 Ia 8).</w:t>
      </w:r>
    </w:p>
    <w:p>
      <w:r>
        <w:t>In queste circostanze la decisione va annullata. Rimane ovviamente salva e riservata allautorità dipartimentale la facoltà di riassumere il procedimento contravvenzionale.</w:t>
      </w:r>
    </w:p>
    <w:p>
      <w:r>
        <w:t>Il ricorso va pertanto accolto e la decisione impugnata annullata. Visto lesito del gravame non si prelevano né tassa di giustizia né spese.</w:t>
      </w:r>
    </w:p>
    <w:p>
      <w:r>
        <w:t>per questi motivi,                visti gli art. 29 Cost; 43 cpv. 2, 90 cifra 1 LCStr; 41 cpv. 1bis ONC; 1 segg. LPContr;</w:t>
      </w:r>
    </w:p>
    <w:p>
      <w:r>
        <w:t>dichiara e</w:t>
      </w:r>
    </w:p>
    <w:p>
      <w:r>
        <w:t>pronuncia:                1.Il ricorsoè accoltoe la decisione impugnata annullata.</w:t>
      </w:r>
    </w:p>
    <w:p>
      <w:r>
        <w:t>2.Non si prelevano né tasse di giustizia né spese.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