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30.2006.215 vom 7. August 2007</w:t>
      </w:r>
    </w:p>
    <w:p>
      <w:r>
        <w:t>TI Tribunale d'appello, 2007-08-07, IT</w:t>
      </w:r>
    </w:p>
    <w:p>
      <w:r>
        <w:rPr>
          <w:b/>
        </w:rPr>
        <w:t xml:space="preserve">Quelle: </w:t>
      </w:r>
      <w:r>
        <w:t>https://mcp.opencaselaw.ch/entscheid/ti_gerichte_30.2006.215</w:t>
      </w:r>
    </w:p>
    <w:p>
      <w:r>
        <w:t>FR: TI_GERICHTE 30.2006.215 du 7 août 2007</w:t>
      </w:r>
    </w:p>
    <w:p>
      <w:r>
        <w:t>IT: TI_GERICHTE 30.2006.215 del 7 agosto 2007</w:t>
      </w:r>
    </w:p>
    <w:p>
      <w:pPr>
        <w:pStyle w:val="Heading2"/>
      </w:pPr>
      <w:r>
        <w:t>Erwägungen</w:t>
      </w:r>
    </w:p>
    <w:p>
      <w:r>
        <w:rPr>
          <w:b/>
        </w:rPr>
        <w:t>E. 7</w:t>
      </w:r>
    </w:p>
    <w:p>
      <w:r>
        <w:t>Di fronte a versioni contrastanti il giudice apprezza liberamente la concludenza delle dichiarazioni rese dall’autore dell’accertamento ed esamina la pertinenza della descrizione dei fatti, ritenuto che l e constatazioni di un agente non fruiscono, di per sé, di una presunzione di veridicità e fedefacenza. La valutazione tiene inoltre conto delle argomentazioni sollevate dal multato. Le dichiarazioni del ricorrente, lineari sin dall’inizio (cfr. lettera 18 aprile 2006, osservazioni 23 maggio 2005, ricorso 14 agosto 2006) e suffragate dalle dichiarazioni testimoniali, sono tali da rendere verosimile l’avvenuto carico di merci nella vettura. I l fatto che l’agente sostenga in modo apodittico che non ha assistito ad alcun movimento di carico e scarico non rende meno plausibile la versione sostenuta dall’insorgente. Nulla prova il fatto che le portiere della vettura del ricorrente fossero chiuse al momento della costatazione da parte dell’agente: in effetti tale circostanza non implica di per sé che l’insorgente, che si trovava dalla parte opposta della strada, non fosse reperibile qualora un conducente avesse attirato la sua attenzione (ad esempio utilizzando gli avvisatori acustici) al fine di spostare il veicolo. Del resto, nessun elemento agli atti, tanto meno le dichiarazioni dell’agente denunciante, che si è limitato, di fatto, a confermare la tesi della “fermata anche solo per pochi minuti” (cfr. rapporto di servizio __________), consente di sostenere che la sosta del ricorrente sul parcheggio riservato agli invalidi costituisse un impedimento per i titolari di tale stallo.</w:t>
      </w:r>
    </w:p>
    <w:p>
      <w:r>
        <w:rPr>
          <w:b/>
        </w:rPr>
        <w:t>E. 8</w:t>
      </w:r>
    </w:p>
    <w:p>
      <w:r>
        <w:t>L’operazione effettuata dal ricorrente è inoltre conforme a quanto precisato in merito dalla dottrina e dalla giurisprudenza. Si trattava infatti di merce (cfr. rotolo di carta catramata) che per il suo peso e dimensione necessitava dell’utilizzo di un veicolo per il trasporto; aggiungasi per di più che l’insorgente è domiciliato a __________ e non nel medesimo luogo in cui è avvenuto il carico. Anche per quanto riguarda l’esigenza di essere sempre presente durante l’operazione di carico e scarico non vi sono rimostranze da rivolgere al ricorrente. Egli, come detto, era infatti dall’altro lato della carreggiata e, fino a prova del contrario, era quindi raggiungibile nel caso in cui avesse dovuto liberare il posteggio riservato agli invalidi, fatto che non si è verificato in concreto. Infine, l’operazione non ha oltrepassato la durata di 10 minuti, tempo oltre il quale la giurisprudenza considera che non si tratti più di sosta ma di parcheggio. Irrilevante ai fini del presente giudizio, che nelle vicinanze - circostanza comunque contestata dal ricorrente e non chiaramente documentata - si trovasse una zona riservata a operazioni di carico e scarico e a soste di una durata non superiore a 30 minuti. Diverso sarebbe stato qualora egli si fosse arrestato sul ciglio della strada per eseguire l’operazione di carico e scarico in prossimità di stalli di parcheggio, ipotesi in cui avrebbe avuto l’obbligo di usufruire di tali stalli, ancorché a pagamento (cfr. Bussy/Rusconi , op. cit., n. 1.1 ad art. 18 ONC) . Ad ogni buon conto, l’utilizzo dei posteggi di fronte alla posta di __________ per il carico e scarico di merci non era vietato da nessuna segnaletica particolare, per cui l’insorgente era autorizzato a farne uso a tale scopo. In definitiva, non può essergli ascritta nessuna violazione delle norme sulla circolazione.</w:t>
      </w:r>
    </w:p>
    <w:p>
      <w:r>
        <w:rPr>
          <w:b/>
        </w:rPr>
        <w:t>E. 9</w:t>
      </w:r>
    </w:p>
    <w:p>
      <w:r>
        <w:t>Il ricorso va pertanto accolto, con conseguente annullamento della decisione impugnata. L’esito del gravame induce a rinunciare al prelievo di tasse e spese di giustizia dell’odierno giudizio (art. 15 LPContr). Per quanto attiene alle ripetibili, la LPContr non contiene alcuna norma che imponga o semplicemente consenta all'autorità giudicante di attribuire indennità alla parte vincente, né un simile principio scaturisce dal diritto federale (cfr. DTF 105 Ia 128 cons. 2b). per questi motivi                 visti gli artt. 3, 27 cpv. 1, 90 cifra 1 LCStr; 79 cpv. 4 OSStr; 1 segg. LPContr; dichiara e pronuncia:                1. Il ricorso è accolto e la decisione impugnata annullata. 2. Non si prelevano né tasse di giustizia, né spese. Non si assegnano ripetibili. 3. Intimazione 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