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30.2006.185 vom 6. Juni 2007</w:t>
      </w:r>
    </w:p>
    <w:p>
      <w:r>
        <w:t>TI Tribunale d'appello, 2007-06-06, IT</w:t>
      </w:r>
    </w:p>
    <w:p>
      <w:r>
        <w:rPr>
          <w:b/>
        </w:rPr>
        <w:t xml:space="preserve">Quelle: </w:t>
      </w:r>
      <w:r>
        <w:t>https://mcp.opencaselaw.ch/entscheid/ti_gerichte_30.2006.185</w:t>
      </w:r>
    </w:p>
    <w:p>
      <w:r>
        <w:t>FR: TI_GERICHTE 30.2006.185 du 6 juin 2007</w:t>
      </w:r>
    </w:p>
    <w:p>
      <w:r>
        <w:t>IT: TI_GERICHTE 30.2006.185 del 6 giugno 2007</w:t>
      </w:r>
    </w:p>
    <w:p>
      <w:pPr>
        <w:pStyle w:val="Heading2"/>
      </w:pPr>
      <w:r>
        <w:t>Erwägungen</w:t>
      </w:r>
    </w:p>
    <w:p>
      <w:r>
        <w:rPr>
          <w:b/>
        </w:rPr>
        <w:t>E. 6</w:t>
      </w:r>
    </w:p>
    <w:p>
      <w:r>
        <w:t>Nella fattispecie in esame, non è stata posata alcuna segnaletica che regoli il diritto di precedenza. Non si è neppure in presenza di una strada costituente l’uscita da una fabbrica, da un cortile, da un’autorimessa, da strade dei campi, da ciclopiste, da parcheggi o da stazioni di servizio. È quindi necessario determinare l’importanza della strada percorsa dalla ricorrente rispetto a quella su cui circolava il co-protagonista, al fine di stabilire se il punto in cui è avvenuta la collisione può essere qualificato d’intersezione nel senso dell’art. 36 cpv. 2 LCStr. Dalle emergenze processuali risulta che tra le strade percorse dai protagonisti non vi sono grandi differenze dal punto di vista morfologico: entrambe sono infatti strade secondarie - circostanza non contestata - ricoperte da asfalto e di larghezza pressoché identica. Per quanto riguarda l’importanza del traffico va ritenuto quanto segue. La strada cantonale percorsa dal co-protagonista è la via di comunicazione che permette di raggiungere il fondo valle, mentre quella da cui proveniva la ricorrente è l’unica che consente di raggiungere la parte bassa del nucleo di __________ dalla strada cantonale - che taglia in due l’agglomerato - e viceversa. Orbene, se può apparire verosimile che la strada cantonale sia maggiormente trafficata rispetto all’altra, in quanto utilizzata da tutte le persone che si recano verso il fondo valle o si spostano da un paese all’altro, occorre comunque concludere che ci si trova in presenza di un’intersezione nel senso dell’art. 36 cpv. 2 LCStr. In effetti, la strada comunale percorsa dalla ricorrente non può essere considerata di così secondaria importanza da rientrare nell’elenco delle eccezioni di cui all’art. 1 cpv. 8 seconda frase ONC, poiché, come detto, permette di raggiungere la strada di transito tra un agglomerato e l’altro ed è l’unica via di collegamento tra la parte bassa e quella alta del nucleo di __________. Nella situazione concreta, contrariamente a quanto ritenuto dall’autorità di prime cure, determinante ai fini di stabilire l’esistenza di un’intersezione è il fatto che la strada percorsa dalla ricorrente non è manifestamente del tutto secondaria rispetto all'altra e praticamente senza importanza come richiesto dalla giurisprudenza per escludere l’applicazione della regola ordinaria della precedenza da destra. Ne consegue che l’incrocio in oggetto deve essere qualificato d’intersezione nel senso dell’art. 36 cpv. 2 LCStr e che il veicolo prioritario era quindi quello condotto dalla ricorrente.</w:t>
      </w:r>
    </w:p>
    <w:p>
      <w:r>
        <w:rPr>
          <w:b/>
        </w:rPr>
        <w:t>E. 7</w:t>
      </w:r>
    </w:p>
    <w:p>
      <w:r>
        <w:t>Il Tribunale federale ha tuttavia stabilito che il diritto alla precedenza non è assoluto: in presenza di una situazione pericolosa o che sembra comportare dei rischi, chi ha la precedenza non deve fare affidamento su questo diritto a scapito della sicurezza della circolazione stradale. Egli deve compiere tutto quanto è nelle sue facoltà per evitare la collisione (DTF 99 IV 173; DTF 92 IV 138). Affinché il conducente prioritario debba rinunciare a questo suo diritto devono sussistere indizi che lo portino a pensare che il debitore della precedenza gliene impedirà l’esercizio (DTF 93 IV 32). Come sostenuto dai protagonisti e constatato anche dagli agenti intervenuti sul luogo della collisione, la visuale all’intersezione è minima e non consente una buona e tempestiva visione dei veicoli che sopraggiungono dalla strada cantonale (cfr. verbale d’interrogatorio RI 1 13 ottobre 2005, pag. 2; verbale __________ 14 ottobre 2005, pag. 1; cfr. inoltre informazioni complementari al rapporto di polizia 28 ottobre 2005). Per la ricorrente non era possibile scorgere il motociclista se non pochi istanti prima del suo giungere all’intersezione e, ancor meno, stabilire se quest’ultimo avrebbe rispettato il suo diritto di precedenza. Nelle circostanze concrete, a mente di questo giudice, nulla poteva essere fatto per evitare la collisione. Tale conclusione è di fatto confermata nelle predette informazioni complementari, laddove la Polizia cantonale dà atto che “entrambi i protagonisti hanno dichiarato a verbale di essere a conoscenza che allo sbocco dove è avvenuto il sinistro vi è poca visuale e nessuna segnaletica pertanto nonostante la loro attenzione il sinistro è stato inevitabile” . In effetti, tanto il co-protagonista, che ha definito l’intersezione quale “punto critico”, quanto la ricorrente, che a verbale ha asserito che già in passato sono avvenuti degli incidenti, hanno rilevato la pericolosità dell’incrocio, caratteristica sicuramente legata al fatto che - come constatato dalla stessa autorità d’indagine a conclusione della ricostruzione della dinamica dei fatti - “non vi è nessuna segnaletica che regola lo sbocco né la presenza di uno specchio parabolico che facilita l’immissione sulla strada cantonale per chi proviene dal nucleo di __________”.</w:t>
      </w:r>
    </w:p>
    <w:p>
      <w:r>
        <w:rPr>
          <w:b/>
        </w:rPr>
        <w:t>E. 8</w:t>
      </w:r>
    </w:p>
    <w:p>
      <w:r>
        <w:t>In definitiva, non essendo possibile ascrivere alla ricorrente una qualsivoglia inosservanza alle norme della circolazione stradale, la stessa deve essere prosciolta dall’addebito mossole. Il ricorso va pertanto accolto, con conseguente annullamento della decisione impugnata ed esenzione dell’insorgente dal pagamento di tasse di giustizia e spese per l’odierno giudizio. Per quanto attiene alle ripetibili, la LPContr non contiene alcuna norma che imponga o semplicemente consenta all’autorità giudicante di attribuire indennità alla parte vincente, né un simile principio scaturisce dal diritto federale (DTF 105 Ia 128 cons. 2b). per questi motivi                 visti gli art. 36 cpv. 4, 90 cifra 1 LCStr; 14 cpv. 1 ONC; 1 segg. LPContr; dichiara e pronuncia:                1. Il ricorso è accolto e la decisione impugnata annullata. 2. Non si prelevano né tasse né spese dell’odierno giudizio. Non si assegnano ripetibili. 3. Intimazione 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