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30.2006.15 vom 20. November 2006</w:t>
      </w:r>
    </w:p>
    <w:p>
      <w:r>
        <w:t>TI Tribunale d'appello, 2006-11-20, IT</w:t>
      </w:r>
    </w:p>
    <w:p>
      <w:r>
        <w:rPr>
          <w:b/>
        </w:rPr>
        <w:t xml:space="preserve">Quelle: </w:t>
      </w:r>
      <w:r>
        <w:t>https://mcp.opencaselaw.ch/entscheid/ti_gerichte_30.2006.15</w:t>
      </w:r>
    </w:p>
    <w:p>
      <w:r>
        <w:t>FR: TI_GERICHTE 30.2006.15 du 20 novembre 2006</w:t>
      </w:r>
    </w:p>
    <w:p>
      <w:r>
        <w:t>IT: TI_GERICHTE 30.2006.15 del 20 novembre 2006</w:t>
      </w:r>
    </w:p>
    <w:p>
      <w:pPr>
        <w:pStyle w:val="Heading2"/>
      </w:pPr>
      <w:r>
        <w:t>Regeste</w:t>
      </w:r>
    </w:p>
    <w:p>
      <w:r>
        <w:t>Attività indipendente di un consulente aziendale, malgrado sia azionista della SA e membro del CdA.Incassa poco dalla SA,le dedica poco tempo,svolge altre attività.I pochi rimborsi spese vanno considerati come in un rapporto di mandato,quindi non tipici della dipendenza.Si assume rischio economico.</w:t>
      </w:r>
    </w:p>
    <w:p>
      <w:pPr>
        <w:pStyle w:val="Heading2"/>
      </w:pPr>
      <w:r>
        <w:t>Erwägungen</w:t>
      </w:r>
    </w:p>
    <w:p>
      <w:r>
        <w:rPr>
          <w:b/>
        </w:rPr>
        <w:t>E. 25</w:t>
      </w:r>
    </w:p>
    <w:p>
      <w:r>
        <w:t>pag. 76 consid. 1.2). In concreto, le decisioni impugnate si riferiscono alla fissazione dei contributi sociali AVS/AI/IPG/AD e AF dovuti dai ricorrenti per un periodo sia antecedente il 31 dicembre 2002 (per i mesi da aprile a dicembre 2002) sia posteriore (2003-2004). Le decisioni (formale e su opposizione) sono invece state entrambe emanate nel corso del 2005. Pertanto, mentre per quanto concerne l'aspetto procedurale trovano subito applicazione le norme della LPGA e le relative modifiche apportate alla LAVS, per la fissazione dei contributi dovuti sono applicate le norme materiali e le Direttive in vigore fino al 31 dicembre 2002 per il primo anno ed i disposti LAVS validi dal 1° gennaio 2003 per gli altri due anni revisionati dalla Cassa. nel merito 4.   Oggetto del contendere è la qualifica (dipendente oppure indipendente) dell ' attività lucrativa svolta da RI 1 nel periodo aprile 2002-dicembre 2004 a favore di RI 2. Se quest ' ultima sarà considerata datrice di lavoro del primo, occorrerà riprendere a titolo di salario gli importi versati al dipendente, rientrando essi nel suo salario determinante (art. 5 cpv. 2 LAVS). Su tale ammontare la datrice di lavoro dovrà versare i contributi paritetici totali, ma potrà pretendere dal salariato che riversi la sua parte (art. 14 LAVS). 5.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dell’11 marzo 2005, H 322/03; STFA del 21 marzo 2005, H 31/04). In particolare, insolite costruzioni di diritto civile che devono servire a motivare un certo statuto di contribuzione qui non hanno alcun valore (RCC 1986 pag. 650). 6.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del 16 dicembre 2002 nella causa D. SA, H 279/00; DTF 123 V 162 consid. 1, DTF 122 V 171 consid. 3a, pag. 172 consid. 3c e pag. 283 consid. 2a; DTF 119 V 161 consid. 2 e la giurisprudenza ivi citata). Per poter decidere si dovrà vedere quali sono gli elementi predominanti nel caso concreto (STFA del 18 settembre 2000 nella causa F.M., H 59/00). 7.   Secondo la giurisprudenza del TFA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19 giugno 2000 nella causa A.G.; Pratique VSI 1993 pag. 242 segg.; Greber/Duc/Scartazzini , Commentaire des articles 1 à 16 de la loi fédérale sur l'assurance-vieillesse et survivants (LAVS), pag. 313, n. 149 ad art. 9 LAVS). In una sentenza pubblicata in Pratique VSI 2001 pag. 55, alla pag.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l'appréciation fiscale. (…)." 8. Il TFA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 TCA del 3 ottobre 1991 nella causa A.B;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 9.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È riservata l'esenzione dall'obbligo di pagare i contributi in virtù di convenzioni internazionali o di consuetudini stabilite dal diritto delle genti (cpv. 3). L’art. 11 LPGA considera datore di lavoro chi impiega salariati.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(Direttive UFAS sul salario determinante (DSD), N. 1001). La LAVS presume che la persona che paga dei salari è un datore di lavoro ( Greber/Duc/Scartazzini , op. cit., pag. 364, n. 4 ad art. 12 LAVS). 10.   A proposito dei consulenti , va rammentato che in una sentenza pubblicata in DTF 110 V 72, in particolare pag. 79, consid. 4b, il TFA ha stabilito che gli elementi a favore di un'attività indipendente , in quel caso erano predominanti: " (…) 4.- a) Die sozialversicherungsrechtliche Beitragspflicht Erwerbstätiger richtet sich unter anderem danach, ob das in einem bestimmten Zeitraum erzielte Erwerbseinkommen als solches aus selbständiger oder aus unselbständiger Erwerbstätigkeit zu qualifizieren ist (Art. 5 und 9 AHVG sowie Art. 6 ff.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104 V 126 Erw. a; ZAK 1982 S. 185 Erw. 1 und 215 Erw. 3). b) Der vom Beschwerdeführer mit der Firma BECSA am 26. November 1976 abgeschlossene "Contrat pour une mission de conseiller" enthält einige Abmachungen, die auf eine unselbständige Erwerbstätigkeit schliessen lassen könnten. Dies gilt etwa für die Bestimmungen der Art. 5 (frais de déplacement), Art. 8 (exclusivité) und Art. 10 (discrétion, loyauté, concurrence). Die Ausgleichskasse hat daraus und "in Übereinstimmung mit der Beurteilung der Einschätzungsabteilung II des kantonalen Steueramtes Zürich" den Schluss gezogen, dass im fraglichen Beratungsvertrag die Kriterien der unselbständigen Erwerbstätigkeit überwögen. Die Vorinstanz fügte dem bei, dass der Beschwerdeführer gemäss Vertrag kein Unternehmerrisiko getragen habe, woran nichts ändere, dass er in Belgien eine möblierte Wohnung gemietet und darin ein Büro eingerichtet habe. Der Rechtsauffassung von Verwaltung und Vorinstanz kann nicht beigepflichtet werden. Es ist eine bekannte Erscheinung der neueren Zeit, dass sich sowohl Einzelpersonen als auch Organisationen, die auf ein bestimmtes technisches oder kaufmännisches Fachgebiet spezialisiert sind, einer Firma (exklusiv oder neben andern) auf bestimmte oder unbestimmte Zeit in einem selbständigen Auftragsverhältnis in Beraterfunktion zur Verfügung stellen. Im Falle des Beschwerdeführers liegt ein typisches solches selbständiges Beratungsverhältnis vor. Davon abgesehen, dass es sich beim "Contrat pour une mission de conseiller" zivilrechtlich nicht um einen Arbeitsvertrag, sondern um einen Auftrag handelt - was im vorliegenden Zusammenhang zwar nicht entscheidend, aber gleichwohl bezeichnend ist -, und dass der Beschwerdeführer ausdrücklich "expert indépendant" genannt wird, deutet der materielle Inhalt des Vertragswerkes überwiegend auf eine selbständige Erwerbstätigkeit hin.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 Bei Beratungsverträgen wie dem vorliegenden liegt das typische Unternehmerrisiko vielmehr gerade in dieser Einseitigkeit, welche durch die erwähnten Möglichkeiten der Vertragsauflösung noch verschärft wird.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 (…)." In un'altra sentenza del 18 settembre 2000 nella causa M. (H 59/00), il TFA ha stabilito che il conferimento ad un fiduciario commercialista esterno dell'incarico di tenuta della contabilità da parte di una persona giuridica configura abitualmente gli estremi di un rapporto di mandato e quindi di una retribuzione a seguito di attività lucrativa indipendente . In quel caso l'assicurato, dipendente a tempo pieno presso una Casa medicalizzata per persone anziane in qualità di contabile, nel tempo libero, in accordo con il proprio datore di lavoro, si occupava della contabilità di alcuni clienti che si erano rivolti a lui quando ancora svolgeva l'attività di fiduciario. Non era in alcun modo integrato nell'organizzazione dell'associazione, non possedeva alcun ufficio presso la medesima, aveva sempre svolto il mandato affidatogli nei locali della propria abitazione, sopportava personalmente l'affitto di tali locali e assumeva sia le spese per le infrastrutture che quelle generali d'ufficio. Non esisteva alcun tipo di rapporto di subordinazione con la sua mandante, non riceveva alcuna istruzione e sceglieva liberamente tanto gli orari durante i quali svolgere il mandato quanto gli strumenti necessari per fornire il risultato promesso. Egli sopportava inoltre il rischio imprenditoriale nella misura in cui finanziava sia gli investimenti effettuati per l'allestimento dell'ufficio che i premi di un'assicurazione responsabilità civile stipulata a copertura di eventuali danni nell'esercizio della sua professione di fiduciario. In un'altra sentenza dell'8 luglio 2003 nella causa A. (H 156/01), il TFA ha confermato la qualifica di indipendente di un collaboratore libero e indipendente che svolgeva lavori amministrativi e mandati di consulenza per diverse società, tra le quali la ricorrente. Infine, in una sentenza del 9 agosto 2004 nella causa L. SA (H 117/03), il TFA ha confermato che un chimico industriale, che fungeva da consulente della ricorrente, andava qualificato quale dipendente della società. L'Alta Corte ha inoltre rammentato che: " (…) si può poi ancora ricordare - come già fatto dai giudici cantonali - che l'esistenza di un'attività dipendente è possibile anche laddove, ad esempio, un rappresentante non percepisce un salario fisso ma solo provvigioni, si assume le spese generali, non è vincolato da una regione geografica, non è obbligato a rispettare un determinato orario di lavoro e lavora per più ditte. Né va dimenticato che i principi applicabili alla distinzione tra attività dipendente e indipendente non comportano soluzioni uniformi e di applicazione automatica quasi si trattasse di una scienza esatta (…)." 11.   In concreto, va preliminarmente rammentato che, di principio, la Cassa ha rettamente proceduto emanando le tassazioni d'ufficio del 14 novembre 2005. Infatti, l'Amministrazione è tenuta ad emettere una tassazione d'ufficio quando il datore di lavoro non ha versato i contributi, o se non ne ha versati sufficientemente, vale a dire se non ha né fornito il conteggio dei contributi né pagato i contributi (N. 5037 DRC nel tenore applicabile al caso di specie). Essa, agendo in conformità all'art. 38 OAVS, ha dunque rispettato le norme applicabili alla fattispecie. Dai documenti agli atti, emerge che l'attività di consulenza espletata da RI 1 per RI 2 nel periodo in esame configura un ' attività lucrativa di tipo indipendente. Ciò non implica comunque, va ribadito, che eventuali suoi rapporti con altri committenti debbano essere qualificati nel medesimo modo. Come visto, infatti, un assicurato può essere qualificato quale dipendente per un'attività ed indipendente per un'altra. Un assicurato può pure trovarsi simultaneamente in condizione d'indipendente e di dipendente nei confronti di una stessa persona ( STFA del 24 febbraio 1989 nella causa D. SA; STCA del 3 luglio 2001 nella causa N. Sagl - Inc. n. 30.2001.00057; cfr. Pratique VSI 1993 pag. 226 consid. 3c = DTF 119 V 165; DTF 105 V 113). Fondamentale è che ogni singolo rapporto lavorativo deve essere esaminato distintamente ed indipendentemente dagli altri. 12.   I ricorrenti sostengono che l ' attività svolta da RI 1 per conto della SA consista in prestazioni di consulenza del primo a favore della seconda. Inoltre, l ' assicurato non nega di essere azionista della società – come sostiene la Cassa -, tuttavia contesta di essere stato suo presidente negli anni in oggetto, ma di esserlo diventato soltanto nel giugno 2005. L ' estratto del Registro di commercio agli atti (doc. V dell ' Inc. n. 30.2006.17) conferma che sin dalla sua costituzione, nell ' aprile 2002, l ' assicurato era membro del Consiglio d ' Amministrazione di RI 1 con diritto di firma collettiva a due. È solo il 12 maggio 2005 che egli è diventato presidente della SA, mantenendo il diritto di firma collettiva a due. La lamentela degli insorgenti, su questo punto, va quindi accolta. Per quanto concerne il tipo di attività prestata dall ' assicurato, le versioni delle parti si contrappongono: i ricorrenti la definiscono consulenza, la Cassa onorari quale membro del CdA per gli anni 2002 e 2003 e come direttore della società nel 2004, qualificando l ' interessato come un dipendente della SA in virtù delle Direttive sul salario determinante (NN. 2028 e 2030 DSD). L ' assicurato nega che si trattava di onorari da CdA, affermando che " Le somme pagate in 2002 e 2003 erano solo piccole parti degli onorari per consulenze perché la RI 2 non era (e sempre non è) in grado di pagare di più. " (docc. IX e XIV). A questo proposito, il TCA osserva che la somma di Fr. 5 ' 380.- mal si addice come indennizzo per un membro del CdA, nel senso che non si tratta di un importo forfetario, né corrisponde ad un regolare importo mensile tondo. La spiegazione fornita dai ricorrenti non appare dunque insostenibile, indipendentemente dal fatto che l ' assicurato era anche azionista. Questa circostanza, inoltre, a dispetto di quanto ipotizzato dalla Cassa, non contribuisce, in questo caso, a qualificarlo come un dipendente. RI 1, di professione consulente per ditte (" Unternehmungsberatung "), non offriva le sue prestazioni soltanto per la società qui ricorrente. Come ha evidenziato la Cassa, è noto che l ' assicurato ha esplicato la sua attività a favore di almeno un ' altra società. Anche il tempo dedicato alla società in esame non appare come tipico di un direttore d ' azienda, per di più azionista (doc. 1). Nel mese d ' agosto 2004 (doc. 2), per esempio, l ' assicurato ha indicato di aver lavorato complessivamente tre giorni a favore della SA. La stessa conclusione è possibile trarla per quanto concerne i rimborsi spese. Nella tabella agli atti relativa al periodo da metà luglio a metà settembre 2004, ad esempio, non sono stati indicati dei gran movimenti di attività a favore della ricorrente (doc. 2). Qualche perplessità possono forse sollevarla alcune elevate cifre relative ai rimborsi di spese di rappresentanza incassati dall ' interessato (per esempio, nel 2002 e nel mese di febbraio 2003); ma gli altri importi, contenuti, ricevuti per il medesimo scopo, riequilibrano subito la situazione. Ogni dubbio va poi fugato, siccome per ogni spesa è indicato esserci – sebbene non sia agli atti – un documento giustificativo. 13.   A proposito di somme realizzate dall ' assicurato lavorando per la ricorrente, va osservato che dagli atti all ' inserto risulta che per gli anni 2002 e 2003 il collaboratore ha fatturato alla società Fr. 5 ' 380.- per le sue prestazioni. Il versamento è avvenuto il 31 dicembre 2002 rispettivamente il 22 maggio 2003 (doc. 2). Tuttavia, dalle schede contabili messe a disposizione dalla Cassa discende che l ' onorario del 2002 figura quale debito della società (scheda conto 2010: "Altri debiti a breve termine"). Per quanto concerne l ' ultimo anno, il 2004, l ' assicurato ha fatturato alla ricorrente un importo totale di Fr. 34'060.- (doc. 2), corrispondente praticamente ad un compenso ogni mese per le sue prestazioni. Questi ammontari, ripresi come tali dall'Amministrazione, sono stati ammessi da entrambi i ricorrenti. Osservando nel dettaglio le somme realizzate mensilmente nel 2004, etichettate dalla Cassa di compensazione come salari che un dipendente riceve ogni mese, occorre evidenziare che non si tratta di importi forfetari. La scheda conto 3320 "Onorari" quantifica così le somme versate ad RI 1: Fr. 4 ' 304.- in gennaio, Fr. 3 ' 228.- in febbraio, Fr. 4 ' 842.- in marzo, Fr. 4 ' 500.- in aprile, Fr. 3 ' 072.- e Fr. 1 ' 500.- in maggio, Fr. 2 ' 500.- in luglio, Fr. 2 ' 000.- in agosto, Fr. 3 ' 000.- e Fr. 1 ' 000.- in ottobre, Fr. 2 ' 500.- in novembre e Fr. 1 ' 614.- in dicembre (doc. 2). L ' ammontare ricevuto variava quindi sensibilmente ed in continuazione, a dipendenza dell ' attività svolta a favore della società. Di conseguenza, appare difficile sostenere che quanto ricevuto sia simile ad un salario che normalmente consegue un dipendente. Quale esempio delle fatturazioni allestite dal collaboratore nei confronti della società, la Cassa acclude una " Rechnung " del seguente tenore: " Für den Aufwand von RI 1 im August 2004 berechnen wir Ihnen: 3 Tage zu CHF 1000.- + 7,6% MWST CHF 228, Total Rechnungsbetrag: CHF 3228.- ". Sulla scorta delle affermazioni dell ' interessato della cui correttezza non v ' è motivo di dubitare, è lecito ritenere che le summenzionate cifre (Fr. 5 ' 380.- e Fr. 34 ' 060.-) sottolineino che i compensi che il collaboratore ha percepito dalla SA ricorrente nel periodo 2002-2004 siano di gran lunga inferiori agli onorari incassati per i lavori eseguiti per conto di altre persone durante il medesimo periodo. L ' assicurato stesso ha evidenziato che nel 2002 ha ricevuto da RI 2 una somma corrispondente al 10,7% dei suoi ricavi totali, pari al 5,1% nel 2003 ed al 12,3% nell ' anno 2004. Pertanto, non presta il fianco ad alcuna critica la conclusione che la collaborazione con la società ricorrente non costituiva un ' importante risorsa economica per l'assicurato, quindi che quest ' ultimo non ha creato una sua dipendenza economica nei di lei confronti (STFA del 17 febbraio 2005 nella causa C. AG, H 12/04). Vi sono, inoltre, agli atti, delle tabelle riassuntive degli impegni esercitati dallo stesso assicurato a favore della SA insorgente. La distinta di agosto 2004, per esempio, elenca il luogo in cui l'interessato ha svolto i propri impegni di lavoro, il nome del partner contattato ed il tempo impiegato. L'altra tabella, riferita al periodo da metà luglio 2004 a metà settembre 2004, menziona i viaggi e le diverse spese di rappresentanza sostenute (quali pranzi e cene), per un totale di Fr. 783,80 (doc. 2). Le schede conto 3340 elencano le "Spese di rappresentanza e viaggio" sostenute da RI 1 e dall'altro socio __________ per gli anni 2002, 2003 e 2004 (doc. 4). Per quanto attiene al ricorrente, i rimborsi delle spese sono avvenuti nei mesi di luglio, ottobre e dicembre 2002; febbraio, aprile, luglio, ottobre, novembre e dicembre 2003; aprile (2 volte), luglio (2 volte), ottobre (2 volte) e dicembre 2004. A proposito di questi rimborsi spese, è vero che le parti non hanno prodotto dei documenti giustificativi; tuttavia, è verosimile ritenere che l'assicurato abbia effettivamente sostenuto questi costi, poiché i rimborsi non sono costituiti da cifre tonde che potrebbero far pensare che si tratti di meri indennizzi forfetari. Inoltre, le schede conto indicano sempre il numero del documento giustificativo della spesa. La rifusione delle spese, come in qualsiasi tipo di mandato, non costituisce elemento decisivo. I diversi elementi del caso concreto indicano in effetti concordemente ed in modo convincente la sussistenza di un rapporto quantomeno parificabile ad un mandato e quindi di una retribuzione a seguito di attività lucrativa indipendente (citata STFA del 18 settembre 2000 nella causa M., H 59/00). 14.   Nell'espletamento della sua attività per conto della SA, verosimilmente a proprio nome e per proprio conto, l ' assicurato non faceva capo a strutture della società. Egli lavorava per la maggior parte del tempo nel suo ufficio di __________ e si assumeva personalmente le spese generali dell ' ufficio, benché da quella postazione lavorava anche a favore della ricorrente. Veniva in Ticino solo ogni tanto per riunioni con " possibili partner " e/o con gli altri azionisti. In quelle occasioni, l ' interessato si faceva carico sia delle spese dell ' alloggio sia di viaggio. Inoltre, come risulta dalla seppur poca documentazione a disposizione, qualche volta l ' assicurato ha intrapreso dei viaggi di rappresentanza all ' estero e a __________ per incontri con possibili fornitori e/o clienti, per le cui spese – come già evidenziato – ha ricevuto un rimborso effettivo da RI 2 (doc. IX). Eseguendo queste funzioni, e con le modalità descritte, a favore della SA, pur in qualità di azionista della medesima l ' assicurato ha pertanto sopportato un rischio economico legato all'esercizio della sua attività (Pratique VSI 1995 pag. 27 segg.; Greber/Duc/ Scartazzini , op. cit., pag. 167 n. 56 ad art. 5 LAVS). In specie risulta dunque un rischio aziendale come richiesto dalla giurisprudenza, tipico di un’attività lucrativa di carattere indipendente (STFA del 29 dicembre 2003 nella causa B., H 320/01). 15.   Considerate tutte le circostanze evidenziate, le tesi ricorsuali trovano accoglimento. I diversi elementi risultanti dal caso concreto indicano che si è in presenza, in materia di obbligo contributivo alle assicurazioni sociali per il periodo in oggetto, di una persona indipendente . Le caratteristiche di un'attività indipendente sono infatti predominanti rispetto alle ragioni di affiliare l'assicurato come un dipendente della società ricorrente. Di conseguenza, la decisione su opposizione della Cassa che ha qualificato l'assicurato come dipendente della SA è errata e come tale va annullata. I redditi versati all'assicurato durante il periodo aprile 2002-dicembre 2004 (complessivamente Fr. 44 ' 820.-, sebbene la Cassa li abbia fissati in Fr. 44 ' 060.-) vanno pertanto considerati come suo onorario, su cui non vanno prelevati contributi paritetici. Per questo periodo contributivo, la Cassa dovrà dunque emanare una nuova decisione di fissazione dei contributi che non comprenda questi onorari, ma soltanto i salari versati a __________. 16.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(DTF 124 V 146 consid. 1 e riferimenti); pertanto, il giudizio cantonale è definitivo. Sebbene siano vincenti in causa, i ricorrenti non hanno diritto a ripetibili siccome non sono patrocinati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