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30.2005.424 vom 15. Mai 2006</w:t>
      </w:r>
    </w:p>
    <w:p>
      <w:r>
        <w:t>TI Tribunale d'appello, 2006-05-15, IT</w:t>
      </w:r>
    </w:p>
    <w:p>
      <w:r>
        <w:rPr>
          <w:b/>
        </w:rPr>
        <w:t xml:space="preserve">Quelle: </w:t>
      </w:r>
      <w:r>
        <w:t>https://mcp.opencaselaw.ch/entscheid/ti_gerichte_30.2005.424</w:t>
      </w:r>
    </w:p>
    <w:p>
      <w:r>
        <w:t>FR: TI_GERICHTE 30.2005.424 du 15 mai 2006</w:t>
      </w:r>
    </w:p>
    <w:p>
      <w:r>
        <w:t>IT: TI_GERICHTE 30.2005.424 del 15 maggio 2006</w:t>
      </w:r>
    </w:p>
    <w:p>
      <w:pPr>
        <w:pStyle w:val="Heading2"/>
      </w:pPr>
      <w:r>
        <w:t>Volltext</w:t>
      </w:r>
    </w:p>
    <w:p>
      <w:r>
        <w:t>Incarto n.30.2005.424</w:t>
      </w:r>
    </w:p>
    <w:p>
      <w:r>
        <w:t>33044/401</w:t>
      </w:r>
    </w:p>
    <w:p>
      <w:r>
        <w:t>Bellinzona</w:t>
      </w:r>
    </w:p>
    <w:p>
      <w:r>
        <w:t>15 maggio 2006</w:t>
      </w:r>
    </w:p>
    <w:p>
      <w:r>
        <w:t>Sentenza</w:t>
      </w:r>
    </w:p>
    <w:p>
      <w:r>
        <w:t>In nomedella Repubblica e CantoneTicino</w:t>
      </w:r>
    </w:p>
    <w:p>
      <w:r>
        <w:t>Il Presidente della Pretura penale</w:t>
      </w:r>
    </w:p>
    <w:p>
      <w:r>
        <w:t>Marco Kraushaar</w:t>
      </w:r>
    </w:p>
    <w:p>
      <w:r>
        <w:t>sedente con Ivone Ribeiro Lopes in qualità si segretaria per statuire sul ricorso 22 dicembre 2005 presentato da</w:t>
      </w:r>
    </w:p>
    <w:p>
      <w:r>
        <w:t>RI 1</w:t>
      </w:r>
    </w:p>
    <w:p>
      <w:r>
        <w:t>Contro</w:t>
      </w:r>
    </w:p>
    <w:p>
      <w:r>
        <w:t>la decisione 9 dicembre 2005 n. 33044/401 emessa dalla CRTE 1</w:t>
      </w:r>
    </w:p>
    <w:p>
      <w:r>
        <w:t>viste                                  le osservazioni 9 gennaio 2006 presentate dalla CRTE 1;</w:t>
      </w:r>
    </w:p>
    <w:p>
      <w:r>
        <w:t>letti ed esaminati gli atti;</w:t>
      </w:r>
    </w:p>
    <w:p>
      <w:r>
        <w:t>ritenuto                             in fatto</w:t>
      </w:r>
    </w:p>
    <w:p>
      <w:r>
        <w:t>A.La CRTE 1con decisione 9 dicembre 2005 ha inflitto a RI 1 una multa di fr. 500.-, oltre alla tassa di giustizia di fr. 100.- e alle spese di fr. 30.-, per averripetutamente circolato con la vettura targata TI __________ senza possedere la richiesta licenza di condurre.</w:t>
      </w:r>
    </w:p>
    <w:p>
      <w:r>
        <w:t>Fatti accertati il __________ in territorio di __________.</w:t>
      </w:r>
    </w:p>
    <w:p>
      <w:r>
        <w:t>La risoluzione è stata resa in applicazione degli art. 10 cpv. 2, 95 cifra 1 LCStr.</w:t>
      </w:r>
    </w:p>
    <w:p>
      <w:r>
        <w:t>B.Contro la predetta pronuncia dipartimentaleRI 1 si aggrava ora davanti a questo giudice chiedendone l'annullamento.</w:t>
      </w:r>
    </w:p>
    <w:p>
      <w:r>
        <w:t>C.La CRTE 1, nelle osservazioni 9 gennaio 2006,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2.Chi conduce un veicolo a motore deve essere titolare della licenza di condurre (art. 10 cpv. 1 prima frase LCStr). Tale licenza, che attesta la debita preparazione e lidoneità alla guida, è necessaria per condurre un veicolo a motore non solo quando questultimo è propulsato dal motore, ma anche quando non è azionato dalla forza, bensì dalla pesantezza o perché è rimorchiato (Bussy/Rusconi, Code suisse de la circulation routière, commentaire ad art. 10, 3aed., Losanna 1996, pag. 137).</w:t>
      </w:r>
    </w:p>
    <w:p>
      <w:r>
        <w:t>Giusta lart. 95 cifra 1 LCStr, guida senza licenza di condurre, chiunque si esercita alla guida senza essere titolare della licenza per allievo conducente o senza essere accompagnato conformemente alle prescrizioni, ritenuto che la pena per tale infrazione è larresto o la multa.</w:t>
      </w:r>
    </w:p>
    <w:p>
      <w:r>
        <w:t>3.La CRTE 1 ha multato la ricorrente  in applicazione delle predette norme  per aver circolato ripetutamente con la vettura __________ targata TI __________ senza possedere la richiesta licenza di condurre e meglio, per essersi messa alla guida da sola disponendo unicamente della licenza per allieva conducente. Tali accertamenti sono seguiti alle denunce avvenute il 20 ottobre 2003 e il 25 luglio 2005 da parte dellautorità municipale di __________, in cui segnalava alla CRTE 1questa anomala e pericolosa situazionea fronte di numerose testimonianze, tra cui quella del segretario comunale __________</w:t>
      </w:r>
    </w:p>
    <w:p>
      <w:r>
        <w:t>4.La ricorrente, dal canto suo, eccepisce che linfrazione imputatale non è stata commessa in quanto non ha mai guidato la vettura di suo marito __________ da sola, ma sempre in compagnia di questultimo, regolarmente titolare della licenza di condurre cat. B dal 16.08.1984. Sostiene che lesistenza di testimoni che labbiano vista alla guida del suddetto veicolo può solo concernere lepisodio nel quale suo marito ha trainato il veicolo dalla diga sino in paese, occasione in cui effettivamente lei si trovava al volante del                           veicolo trainato.</w:t>
      </w:r>
    </w:p>
    <w:p>
      <w:r>
        <w:t>5.La versione fornita dalla ricorrente è tuttavia sconfessata dalle dichiarazioni rese dal marito, il quale ha ammesso di fronte alle forze inquirenti di essere a conoscenza del fatto che la moglie aveva guidato la sua auto (anche se mai in sua presenza, ciò che conferma la tesi che ella ha sempre circolato da sola allinfuori delle lezioni di scuola guida), come pure di aver rimorchiato in diverse occasioni la vettura __________ condotta da questultima (e non una sola volta come da lei asserito).</w:t>
      </w:r>
    </w:p>
    <w:p>
      <w:r>
        <w:t>Sintomatico è poi il fatto che egli abbia dichiarato di aver già pensato di nascondere le chiavi dellauto (cfr. verbale di interrogatorio 16 agosto 2005, pag. 2 e 3). Giova peraltro rilevare che non cè motivo di dubitare dellattendibilità delle affermazioni del marito, il quale, al contrario della moglie, non aveva alcun interesse a dichiarare circostanze non vere.</w:t>
      </w:r>
    </w:p>
    <w:p>
      <w:r>
        <w:t>Tali dichiarazioni non fanno che confortare quanto asserito dal teste __________ __________, che sostiene di aver visto personalmente la ricorrente almeno una volta alla settimana, quando si recava sul posto di lavoro a __________, alla guida della vettura del marito senza che fosse accompagnata da questultimo, in particolare nel periodo scolastico (cfr. verbale di interrogatorio 8 agosto 2005). Il fatto che nel rapporto di contravvenzione non siano specificati gli orari di commissione dellinfrazione non è rilevante, posto come vi siano sufficienti elementi che consentono a questo giudice di pervenire al convincimento che linfrazione è state effettivamente commessa e in modo ripetuto. Del resto, linfrazione era facilmente realizzabile, ove appena si consideri che la vettura con cui è stata vista la ricorrente era provvista di targa propria e si trovava durevolmente presso labitazione, poiché il marito utilizzava unaltra vettura.</w:t>
      </w:r>
    </w:p>
    <w:p>
      <w:r>
        <w:t>Ciò posto, la multa inflitta è confacentemente proporzionata alla gravità dell'infrazione commessa, rettamente commisurata al grado di colpa e contenuta nei limiti concessi dalla legge. Non va infatti disatteso che la multa non può essere insignificante, perché il sistematico abuso da parte della ricorrente della licenza di allieva conducente  commessa, a mente di questo giudice, con una sconsiderata leggerezza  denota una particolare gravità.</w:t>
      </w:r>
    </w:p>
    <w:p>
      <w:r>
        <w:t>Il ricorso  infondato  va pertanto respinto, seguito da tassa di giustizia e spese (art. 15 LPContr).</w:t>
      </w:r>
    </w:p>
    <w:p>
      <w:r>
        <w:t>per questi motivi,                visti gli art. 10 cpv. 2, 95 cifra 1 LCStr; 1 e segg. LPContr;</w:t>
      </w:r>
    </w:p>
    <w:p>
      <w:r>
        <w:t>dichiara e</w:t>
      </w:r>
    </w:p>
    <w:p>
      <w:r>
        <w:t>pronuncia:                1.Il ricorsoè respintoe la decisione impugnata confermata.</w:t>
      </w:r>
    </w:p>
    <w:p>
      <w:r>
        <w:t>2.La tassa di giustizia di fr. 200.- e le spese di fr. 50.- sono a carico della ricorrente.</w:t>
      </w:r>
    </w:p>
    <w:p>
      <w:r>
        <w:t>3.Intimazione a:</w:t>
      </w:r>
    </w:p>
    <w:p>
      <w:r>
        <w:t>CRTE 1</w:t>
      </w:r>
    </w:p>
    <w:p>
      <w:r>
        <w:t>Il presidente: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