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30.2005.273 vom 12. August 2005</w:t>
      </w:r>
    </w:p>
    <w:p>
      <w:r>
        <w:t>TI Tribunale d'appello, 2005-08-12, IT</w:t>
      </w:r>
    </w:p>
    <w:p>
      <w:r>
        <w:rPr>
          <w:b/>
        </w:rPr>
        <w:t xml:space="preserve">Quelle: </w:t>
      </w:r>
      <w:r>
        <w:t>https://mcp.opencaselaw.ch/entscheid/ti_gerichte_30.2005.273</w:t>
      </w:r>
    </w:p>
    <w:p>
      <w:r>
        <w:t>FR: TI_GERICHTE 30.2005.273 du 12 août 2005</w:t>
      </w:r>
    </w:p>
    <w:p>
      <w:r>
        <w:t>IT: TI_GERICHTE 30.2005.273 del 12 agosto 2005</w:t>
      </w:r>
    </w:p>
    <w:p>
      <w:pPr>
        <w:pStyle w:val="Heading2"/>
      </w:pPr>
      <w:r>
        <w:t>Erwägungen</w:t>
      </w:r>
    </w:p>
    <w:p>
      <w:r>
        <w:rPr>
          <w:b/>
        </w:rPr>
        <w:t>E. 2</w:t>
      </w:r>
    </w:p>
    <w:p>
      <w:r>
        <w:t>e 90 n. 1 LCS; 22 cpv. 1 OSS; 1 segg. LPContr; pronuncia: 1.     Il ricorso è parzialmente accolto e la decisione impugnata è riformata nel senso che a RI 1 è inflitta una multa di fr. 100.–, senza tasse né spese. 2.     Non si prelevano tasse o spese dell'attuale giudizio, né si assegnano ripetibili; 3.     Intimazione a: . Il giudice:                                                                                 La segretaria: Avvertenza: contro il presente giudizio può essere interposto ricorso per cassazione alla Corte di cassazione del Tribunale federale di Losanna. Il ricorso deve essere depositato presso il Tribunale federale conformemente all'art. 273 PP entro 30 giorni dalla notifica (art. 272 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