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30.2004.4 vom 15. Dezember 2003</w:t>
      </w:r>
    </w:p>
    <w:p>
      <w:r>
        <w:t>TI Tribunale d'appello, 2003-12-15, IT</w:t>
      </w:r>
    </w:p>
    <w:p>
      <w:r>
        <w:rPr>
          <w:b/>
        </w:rPr>
        <w:t xml:space="preserve">Quelle: </w:t>
      </w:r>
      <w:r>
        <w:t>https://mcp.opencaselaw.ch/entscheid/ti_gerichte_30.2004.4</w:t>
      </w:r>
    </w:p>
    <w:p>
      <w:r>
        <w:t>FR: TI_GERICHTE 30.2004.4 du 15 décembre 2003</w:t>
      </w:r>
    </w:p>
    <w:p>
      <w:r>
        <w:t>IT: TI_GERICHTE 30.2004.4 del 15 dicembre 2003</w:t>
      </w:r>
    </w:p>
    <w:p>
      <w:pPr>
        <w:pStyle w:val="Heading2"/>
      </w:pPr>
      <w:r>
        <w:t>Regeste</w:t>
      </w:r>
    </w:p>
    <w:p>
      <w:r>
        <w:t>Sentenza o decisione senza scheda</w:t>
      </w:r>
    </w:p>
    <w:p>
      <w:pPr>
        <w:pStyle w:val="Heading2"/>
      </w:pPr>
      <w:r>
        <w:t>Erwägungen</w:t>
      </w:r>
    </w:p>
    <w:p>
      <w:r>
        <w:rPr>
          <w:b/>
        </w:rPr>
        <w:t>E. 25</w:t>
      </w:r>
    </w:p>
    <w:p>
      <w:r>
        <w:t>novembre 2003 la Cassa ha respinto l'affiliazione come indipendente poiché " una persona retribuita con uno stipendio mensile, che lavora per un unico committente e svolge l'attività presso l'ufficio del medesimo, secondo la costante giurisprudenza del Tribunale federale è considerata persona con attività lucrativa dipendente . " (doc. _) __________ conferma la circostanza della committenza unica. Infatti, con scritto del 28 ottobre 2003 alla Cassa, ha affermato: "1) il lavoro per un unico committente, durante un periodo limitato e breve, non può costituire un elemento decisivo a favore dell'attività dipendente. Bisogna prendere in considerazione pure l'attività di consulenza svolta al proprio domicilio; quest'ultima non deve sfociare obbligatoriamente in una fatturazione diretta. 2) La Signora __________ assume il rischio economico a) nessun rapporto di lavoro diretto, nessuna garanzia per il proseguimento dell'attività b) in caso di crisi economica della __________ nessuna possibilità di iscriversi alla disoccupazione c) libertà di poter espandere la propria attività senza nulla chiedere alla __________ " (doc. _) L'assicurata, come emerge anche dal questionario relativo all'affiliazione quale indipendente, nel periodo 2000-2002 ha lavorato unicamente per la __________ (cfr. questionario per l'affiliazione degli indipendenti). Essa ha svolto la propria attività dal 1° gennaio 2000 al 30 settembre 2000 e, dopo una breve pausa dovuta alla gravidanza, ha ripreso il lavoro a partire dal 1° aprile 2001, ma solo ed esclusivamente per l'Agenzia di viaggi ricorrente. In simili condizioni non vi è alcun dubbio circa la dipendenza economica dell'assicurata nei confronti della __________. Va a questo proposito rammentato che il TFA nella sentenza D. SA del 16 dicembre 2002 (H 279/00) ha deciso che il fatto di svolgere l'attività lucrativa unicamente per una società configura un elemento decisivo a favore dell'attività dipendente. Non va poi dimenticato che dal contratto del 1 aprile 2001, risulta che l'assicurata riceve ogni mese un acconto mensile e alla fine dell'anno un conguaglio in funzione del fatturato della sua clientela. Questa circostanza è confermata anche da quanto indicato nell'opposizione del 5 dicembre 2003 da __________ la quale ha affermato che " la signora __________ non prende uno stipendio fisso mensile, bensì un acconto mensile regolare e un conguaglio a fine anno in base al fatturato della sua clientela ." (doc. _). __________ percepisce pertanto un importo regolare, come un salariato il quale ogni mese riceve una retribuzione fissa. Ciò che presenta le caratteristiche tipiche di un contratto di lavoro. Infatti, come emerge dal ricorso, l'assicurata, che, è bene sottolinearlo, svolge l'attività a titolo accessorio, ha ricevuto nel 2002 per 10 mesi fr. 2.200 e per 2 mesi fr. 1'100, nel 2001 fr. 2'200 per 8 mesi e fr. 1'100 per un mese, tenuto conto che per tre mesi non ha ricevuto nulla, ma ciò era dovuto al fatto che non ha lavorato in quanto in gravidanza. Anche nel 2001, per i tre mesi in gravidanza non ha ricevuto nulla, mentre per 3 mesi ha ricevuto fr. 3'600 e per altri 3 fr. 1'800.-. Va precisato inoltre che analogamente a quanto vale per gli agenti di commercio (cfr. consid. 2.7) non costituisce rischio d'incasso la circostanza che se __________ non viene onorata dal cliente, l'insorgente non viene pagata dalla società. Tale fatto pone invece la ricorrente in una situazione analoga al dipendente di una società che rischia il licenziamento a causa delle difficoltà finanziarie della società per la quale opera (cfr. anche DTF 119 V 163). Il fatto che le parti abbiano stabilito, nel contratto di collaborazione, che l'assunzione di __________ avveniva in qualità di " collaboratrice indipendente ", non è determinante. In una sentenza del 27 giugno 1996 il TFA ha infatti rilevato tra l'altro: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(DTF 122 V 169, consid. 6a)aa) pag. 175) In concreto è invece decisiva la circostanza che __________ ha lavorato unicamente per la __________, con un compenso mensile che si apparenta al salario, senza assumersi alcun rischio economico tipico di quello di un imprenditore. Infine, per quanto concerne la tassazione, va rammentato che essa vincola l'amministrazione e il giudice delle assicurazioni sociali solo per quanto concerne l'ammontare del reddito, ma è senza effetto sulla questione a sapere se un reddito proviene effettivamente dall'esercizio di un'attività lucrativa e, in caso affermativo, se si tratta di attività dipendente o indipendente (Greber, Duc, Scartazzini, op. cit., n. 150 ad art. 9 LAVS, pag. 313). Alla luce di tutto quanto sopra esposto le caratteristiche di un'attività dipendente sono predominanti rispetto a quelle di un'attività indipendente. L'affiliazione della Cassa quale dipendente merita pertanto conferma. Per quanto concerne l'ammontare della ripresa va infine sottolineato che la Cassa ha giustamente assoggettato a contribuzione l'importo che __________ stessa ha dichiarato di aver percepito nel periodo in discussione nel questionario per l'affiliazione degli indipendenti sottoscritto in data 1° settembre 2003 (doc. _), non avendo l'agenzia di viaggi fornito indicazioni più precise, malgrado i numerosi solleciti della Cassa (doc. _ e _). 2.10.   Le assicurate contestano tuttavia l'affiliazione retroattiva al 2000 e fanno valere che per quasi quattro anni la Cassa non si è preoccupata di informarle circa la qualifica dell'attività svolta. Per l'art. 16 cpv. 1 LAVS, i contributi il cui importo non è stato fissato in una decisione notificata entro un termine di cinque anni dalla fine dell'anno civile per il quale sono dovuti, non possono più essere né pretesi né pagati. Trattandosi di contributi secondo gli articoli 6, 8 capoverso 1 e 10 capoverso 1, il termine decorre dalla fine dell'anno civile in cui passa in giudicato la tassazione fiscale determinante o la tassazione consecutiva a una procedura di ricupero d'imposta. Se il diritto di esigere il pagamento di contributi arretrati nasce da un atto punibile per il quale la legge penale prevede un termine di prescrizione più lungo, quest'ultimo è determinante. La prescrizione dell'art. 16 LAVS ha gli stessi effetti della perenzione: il credito contributivo o il diritto di reclamare la restituzione dei contributi si estinguono alla fine del termine previsto e nessun obbligo naturale sussiste (Greber, Duc, Scartazzini, Commentaire des articles 1 à 16 de la loi fédérale sur l'assurance-vieillesse et survivants, 1997, N 2 ad art. 16, pag. 405). La Cassa di compensazione non può reclamare il pagamento di contributi prescritti. Essa non può neppure accettare il pagamento di tali contributi (marg. 4004 delle Direttive sulla riscossione dei contributi = DRC). La regola precedente si applica per analogia alla prescrizione del diritto di reclamare la restituzione di contributi (marg. 4005 DRC). Contributi prescritti non possono essere riscossi neppure quando il mancato incasso provoca una lacuna contributiva, anche se questa lacuna risulta da un conportamento colpevole della cassa di compensazione (Greber, Duc, Scartazzini, op. cit., N 5 ad art. 16, pag. 407; DTF 100 V 154). Dopo la fine del termine di prescrizione le iscrizioni registrate nel CI non possono più essere modificate, di conseguenza i contributi del CI di un assicurato non possono per esempio essere trasmessi su quello di un altro assicurato (marg. 4009 DRC). Rimangono riservati i casi previsiti dall'art. 141 cpv. 3 OAVS, in particolare la correzione di una registrazione destinata a sopprimere confusioni o errori di calcolo, oppure la registrazione ulteriore di salari paritetici versati per un salariato il cui nome era finora sconosciuto (marg. 4010 DRC). Nel caso di specie la Cassa ha fissato i contributi per gli anni 2000 e seguenti nel 2003. Le decisioni, rese entro il termine di perenzione di 5 anni, sono di conseguenza tempestive. 2.11.   Per quanto concerne l'affiliazione retroattiva va ricordato che il TFA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Nel caso di specie il TCA ha chiesto alla Cassa di voler precisare se __________ dal 2000 al 2002 è stata affiliata come indipendente e se sono stati calcolati i contributi dovuti in tale qualità (doc. _). L'amministrazione ha risposto che l'assicurata "non è stata affiliata nella categoria degli indipendenti dal 2000 al 2002, in quanto non erano dati i requisiti, secondo il diritto delle assicurazioni sociali " (doc. _) Ne consegue che la Cassa, conformemente alla giurisprudenza del TFA, poteva esaminare liberamente lo statuto della ricorrente, senza che fosse necessario una revisione o un riesame di una precedente decisione, poiché la questione della qualifica dell'attività svolta da __________ non è mai stata oggetto di alcuna decisione. 2.12.   Infine, le assicurate fanno valere la buona fede poiché una precedente collaboratrice della __________ dal 1995 al 1999 sarebbe stata affiliata quale indipendente, malgrado esercitasse le medesime mansioni alle stesse condizioni di __________.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dalle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Va infine rilevato che in una sentenza del 27 giugno 1996, pubblicata in DTF 122 V 169, il TFA, pur confermando la modifica di uno statuto contributivo con effetto retroattivo, ha accennato al principio della buona fede, non ritenendo tuttavia adempiuti i presupposti, poiché l'assicurato non ha fatto valere di aver ricevuto informazioni vincolanti da parte della Cassa. In particolare l'Alta Corte si è così espressa (sentenza citata, pag. 178): " Inwiefern dieser Statutswechsel dem Grundsatz des Vertrauensschutzes widersprechen soll, wie in der Verwaltungsgerichtsbeschwerde gerügt wird, ist nicht ersichtlich. Namentlich kann keine Rede davon sei, es habe im Zeitpunkt der Uebernahme des Telekiosk-Betriebes am 1. Januar 1993 eine langjährige Praxis der Ausgleichskassen im Sinne der Einstufung der Telefonhostessen als Selbständigerwerbende bestanden, gibt es doch den "Telekiosk 156" erst seit Oktober 1991. Der Beschwerdeführer durfte daher nicht ohne weiteres auf die Richtigkeit dieser Qualifizierung vertrauen. Dass er eine solche nach Treu und Glauben verbindliche Auskunft von der zuständigen Ausgleichskasse erhalten hatte (vgl. BGE 119 V 307 Erw. 3a, 118 Ia 254 Erw. 4b, je mit Hinweisen), macht er im übrigen nicht geltend." 2.13.   A mente del TCA, nel caso di specie, i presupposti per tutelare la buona fede non sono dati. Infatti, in nessuna occasione l'amministrazione ha fornito indicazioni vincolanti per quanto concerne il lavoro svolto da __________. In particolare, il TCA ha chiesto alla Cassa di voler trasmettere i precedenti rapporti di revisione della __________ i. L'amministrazione ha affermato che in precedenza non è stata effettuata alcuna revisione (doc. _). Per cui, non vi è stata alcuna informazione errata da parte dell'amministrazione circa il lavoro svolto da __________. A differenza di altri casi giudicati da questo TCA (cfr. per tutte: STCA del 23 maggio 2003 nella causa R., __________) nella fattispecie non vi sono stati controlli precedenti da parte di ispettori, né sono state date informazioni errata da parte dell'amministrazione cantonale. La Cassa ha affiliato un'altra assicurata quale indipendente per un periodo precedente, senza tuttavia che siano state fornite indicazioni errate circa l'affiliazione di __________. Il fatto che in precedenza un'altra assicurata ha svolto lo stesso lavoro per l'agenzia di viaggi ed è stata considerata come indipendente, in mancanza di un'informazione concreta da parte della Cassa circa la situazione di __________ non può essere costitutivo di una violazione del principio della buona fede, né della parità di trattamento. Infatti, non può esservi uguaglianza di trattamento fra assicurati qualora vi sia un'applicazione illegale di norme giuridiche. In proposito si osserva che in una sentenza del 4 giugno 2003 (K31/03), il Tribunale federale delle assicurazioni ha nuovamente ribadito la propria costante giurisprudenza: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Un'informazione errata, semmai c'è stata, potrebbe provenire dall'ufficio di tassazione di __________ che avrebbe rassicurato l'insorgente circa un'affiliazione automatica quale indipendente se avesse inoltrato la tassazione in tale qualità (doc. _). Anche in uno scritto del 1° dicembre 2003 la __________ ha affermato che " la signora __________ ha inoltrato negli ultimi 3 anni la dichiarazione fiscale in qualità di indipendente e più volte ha richiesto al vostro ufficio di __________ di ottenere l'affiliazione e il relativo numero AVS. All'interessata è sempre stato dichiarato - e ciò per più volte - che l'ufficio di tassazione avrebbe trasmesso i dati direttamente all'ufficio AVS e che di conseguenza i relativi formulari sarebbero giunti automaticamente. " (doc. _) Ciò, a mente del TCA, non può tuttavia vincolare la Cassa di compensazione. Infatti, da una parte non risulta che la Cassa cantonale abbia affermato che la tassazione come indipendente comportava automaticamente l'affiliazione quale indipendente e dall'altra, come più volte ribadito, per giurisprudenza costante, la qualifica dell'attività lucrativa da parte delle autorità fiscali non ha valore per la Cassa, se non nei casi dubbi (cfr. consid. 2.5). In concreto, in assenza di una comunicazione vincolante da parte della Cassa cantonale di compensazione, le condizioni poste per la protezione della buona fede non sono date. In queste circostanze, il ricorso va respinto, mentre la decisione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