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30.2004.266 vom 21. März 2005</w:t>
      </w:r>
    </w:p>
    <w:p>
      <w:r>
        <w:t>TI Tribunale d'appello, 2005-03-21, IT</w:t>
      </w:r>
    </w:p>
    <w:p>
      <w:r>
        <w:rPr>
          <w:b/>
        </w:rPr>
        <w:t xml:space="preserve">Quelle: </w:t>
      </w:r>
      <w:r>
        <w:t>https://mcp.opencaselaw.ch/entscheid/ti_gerichte_30.2004.266</w:t>
      </w:r>
    </w:p>
    <w:p>
      <w:r>
        <w:t>FR: TI_GERICHTE 30.2004.266 du 21 mars 2005</w:t>
      </w:r>
    </w:p>
    <w:p>
      <w:r>
        <w:t>IT: TI_GERICHTE 30.2004.266 del 21 marzo 2005</w:t>
      </w:r>
    </w:p>
    <w:p>
      <w:pPr>
        <w:pStyle w:val="Heading2"/>
      </w:pPr>
      <w:r>
        <w:t>Volltext</w:t>
      </w:r>
    </w:p>
    <w:p>
      <w:r>
        <w:t>Incarto n.30.2004.266/pg</w:t>
      </w:r>
    </w:p>
    <w:p>
      <w:r>
        <w:t>20899/202</w:t>
      </w:r>
    </w:p>
    <w:p>
      <w:r>
        <w:t>Bellinzona</w:t>
      </w:r>
    </w:p>
    <w:p>
      <w:r>
        <w:t>21 marzo 2005</w:t>
      </w:r>
    </w:p>
    <w:p>
      <w:r>
        <w:t>Sentenza</w:t>
      </w:r>
    </w:p>
    <w:p>
      <w:r>
        <w:t>In nomedella Repubblica e Cantonedel Ticino</w:t>
      </w:r>
    </w:p>
    <w:p>
      <w:r>
        <w:t>Il Presidente della Pretura penale</w:t>
      </w:r>
    </w:p>
    <w:p>
      <w:r>
        <w:t>Marco Kraushaar</w:t>
      </w:r>
    </w:p>
    <w:p>
      <w:r>
        <w:t>sedente con il cancelliere Giovanni Pozzi in qualità di segretario, per statuire sul ricorso 5 settembre 2004 presentato da</w:t>
      </w:r>
    </w:p>
    <w:p>
      <w:r>
        <w:t>RI 1</w:t>
      </w:r>
    </w:p>
    <w:p>
      <w:r>
        <w:t>contro</w:t>
      </w:r>
    </w:p>
    <w:p>
      <w:r>
        <w:t>la decisione n° 20899/202 del 27 agosto 2004 emessa dalla Sezione della circolazione, Camorino,</w:t>
      </w:r>
    </w:p>
    <w:p>
      <w:r>
        <w:t>viste                                  le osservazioni presentate dalla Sezione della circolazione, Camorino</w:t>
      </w:r>
    </w:p>
    <w:p>
      <w:r>
        <w:t>letti ed esaminati gli atti;</w:t>
      </w:r>
    </w:p>
    <w:p>
      <w:r>
        <w:t>ritenuto                             in fatto</w:t>
      </w:r>
    </w:p>
    <w:p>
      <w:r>
        <w:t>A.La Sezione della circolazionecon decisione 27 agosto 2004 ha inflitto a RI 1 una multa di fr. 340.-, oltre alla tassa di giustizia di fr. 80.- e alle spese di fr. 30.-, per i seguenti motivi:</w:t>
      </w:r>
    </w:p>
    <w:p>
      <w:r>
        <w:t>"Alla guida della vettura __________ ha circolato nellabitato di __________ alla velocità superante i 60 km/h ivi prescritti.</w:t>
      </w:r>
    </w:p>
    <w:p>
      <w:r>
        <w:t>Velocità accertata con apparecchio radar: 82 km/h.</w:t>
      </w:r>
    </w:p>
    <w:p>
      <w:r>
        <w:t>Velocità punibile dedotta la tolleranza: 77 km/h.</w:t>
      </w:r>
    </w:p>
    <w:p>
      <w:r>
        <w:t>Fatti accertati il 22 giugno 2004 in territorio di __________.</w:t>
      </w:r>
    </w:p>
    <w:p>
      <w:r>
        <w:t>La risoluzione è stata resa in applicazione degli art. 3, 27 cpv. 1, 32 cpv. 2, 3 e 90 cifra 1 LCStr; 4 cpv. 5 ONC e 22 cpv. 1 OSStr.</w:t>
      </w:r>
    </w:p>
    <w:p>
      <w:r>
        <w:t>B.Contro la predetta pronuncia dipartimentale RI 1 si aggrava ora davanti a questo giudice chiedendone l'annullamento.</w:t>
      </w:r>
    </w:p>
    <w:p>
      <w:r>
        <w:t>Eccepisce di non aver commesso linfrazione allinterno della località di __________.</w:t>
      </w:r>
    </w:p>
    <w:p>
      <w:r>
        <w:t>C.La Sezione della circolazione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w:t>
      </w:r>
    </w:p>
    <w:p>
      <w:r>
        <w:t>Il ricorso è pertanto ricevibile in ordine e può essere giudicato sulla base degli atti ai sensi dell'art. 12 LPContr.</w:t>
      </w:r>
    </w:p>
    <w:p>
      <w:r>
        <w:t>2.Per lart. 27 cpv. 1 prima frase LCStr lutente della strada deve osservare i segnali e le demarcazioni stradali, come anche le istruzioni di polizia.</w:t>
      </w:r>
    </w:p>
    <w:p>
      <w:r>
        <w:t>Se dei segnali indicano altre velocità massime esse sono applicabili al posto   delle limitazioni generali di velocità (art. 4a cpv. 5 prima frase ONC).</w:t>
      </w:r>
    </w:p>
    <w:p>
      <w:r>
        <w:t>Ai sensi dellart. 50 cpv. 4 prima frase OSStr i segnali inizio della località sulle strade principali o inizio della località sulle strade secondarie sono collocati dove inizia la zona con abitazioni sparse.</w:t>
      </w:r>
    </w:p>
    <w:p>
      <w:r>
        <w:t>3.Preliminarmente si rileva come la ricorrente nel proprio gravamenon contesta il fatto di aver circolato alla velocità indicata che supera, già dedotta la tolleranza, di 17 km/h il limite massimo di 60 km/h vigente nel tratto di strada in questione.</w:t>
      </w:r>
    </w:p>
    <w:p>
      <w:r>
        <w:t>4.Linfrazione di cui sopra si é verificata allinterno della località di __________; infatti dalla documentazione agli atti si evince chiaramente che il cartello che segnala linizio della località é posto prima della diramazione stradale imboccata dalla ricorrente e che conduce, attraverso una zona in cui si trovano parecchie edificazioni, al quartiere di __________ (cfr. documentazione fotografica allegata al rapporto di controsservazioni della Polizia di Lugano del 4 dicembre 2004).</w:t>
      </w:r>
    </w:p>
    <w:p>
      <w:r>
        <w:t>Una conferma in tal senso giunge dal fatto che nella direzione di marcia inversa, allaltezza del __________, un analogo cartello indica linizio della località di __________ (cfr. ibidem).</w:t>
      </w:r>
    </w:p>
    <w:p>
      <w:r>
        <w:t>Mal si comprenderebbe la circostanza per la quale in senso ascendente la strada sia considerata allinterno della località, mentre in senso discendente no, tanto più che se così fosse il cartello indicante linizio della località a monte avrebbe potuto essere posizionato dopo la diramazione citata.</w:t>
      </w:r>
    </w:p>
    <w:p>
      <w:r>
        <w:t>Di conseguenza, per le motivazioni addotte, linfrazione addebitata alla ricorrente é stata commessa allinterno della località di __________.</w:t>
      </w:r>
    </w:p>
    <w:p>
      <w:r>
        <w:t>5.La multa inflitta è, peraltro, confacentemente proporzionata alla gravità dell'infrazione commessa, rettamente commisurata e contenuta nei limiti concessi dalla legge.</w:t>
      </w:r>
    </w:p>
    <w:p>
      <w:r>
        <w:t>Nulla muta al riguardo il fatto che linsorgente abbia nel frattempo già provveduto al pagamento.</w:t>
      </w:r>
    </w:p>
    <w:p>
      <w:r>
        <w:t>Il ricorso va pertanto respinto, seguito da tassa di giustizia e spese (art. 15 LPContr).</w:t>
      </w:r>
    </w:p>
    <w:p>
      <w:r>
        <w:t>per questi motivi,                visti gli art. 3, 27 cpv. 1, 32 cpv. 2,3 e 90 cifra 1 LCStr; 4 cpv. 5 ONC, 22 cpv. 1 OSStr; 1 segg. LPContr;</w:t>
      </w:r>
    </w:p>
    <w:p>
      <w:r>
        <w:t>dichiara e</w:t>
      </w:r>
    </w:p>
    <w:p>
      <w:r>
        <w:t>pronuncia:                1.Il ricorso 5 settembre 2004è respinto.</w:t>
      </w:r>
    </w:p>
    <w:p>
      <w:r>
        <w:t>§Di conseguenza, è confermata la decisione n° 20899/202 del 27 agosto 2004 emessa dalla Sezione della circolazione, Camorino.</w:t>
      </w:r>
    </w:p>
    <w:p>
      <w:r>
        <w:t>2.La tassa di giustizia di fr. 100.- e le spese di fr. 50.- sono a carico della ricorrente.</w:t>
      </w:r>
    </w:p>
    <w:p>
      <w:r>
        <w:t>3.Intimazione a:</w:t>
      </w:r>
    </w:p>
    <w:p>
      <w:r>
        <w:t>Il presidente:                                                                            Il segretario:</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